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B6309" w14:textId="77777777" w:rsidR="004057C6" w:rsidRDefault="004057C6" w:rsidP="006C4BEE">
      <w:pPr>
        <w:jc w:val="center"/>
        <w:rPr>
          <w:u w:val="single"/>
        </w:rPr>
      </w:pPr>
      <w:bookmarkStart w:id="0" w:name="_GoBack"/>
      <w:bookmarkEnd w:id="0"/>
    </w:p>
    <w:p w14:paraId="738BEB9B" w14:textId="77777777" w:rsidR="004057C6" w:rsidRDefault="004057C6" w:rsidP="006C4BEE">
      <w:pPr>
        <w:jc w:val="center"/>
        <w:rPr>
          <w:u w:val="single"/>
        </w:rPr>
      </w:pPr>
    </w:p>
    <w:p w14:paraId="2E8B7304" w14:textId="77777777" w:rsidR="004057C6" w:rsidRDefault="004057C6" w:rsidP="006C4BEE">
      <w:pPr>
        <w:jc w:val="center"/>
        <w:rPr>
          <w:u w:val="single"/>
        </w:rPr>
      </w:pPr>
    </w:p>
    <w:p w14:paraId="38409A23" w14:textId="77777777" w:rsidR="004057C6" w:rsidRDefault="004057C6" w:rsidP="006C4BEE">
      <w:pPr>
        <w:jc w:val="center"/>
        <w:rPr>
          <w:u w:val="single"/>
        </w:rPr>
      </w:pPr>
    </w:p>
    <w:p w14:paraId="6250DF86" w14:textId="77777777" w:rsidR="004057C6" w:rsidRDefault="004057C6" w:rsidP="006C4BEE">
      <w:pPr>
        <w:jc w:val="center"/>
        <w:rPr>
          <w:u w:val="single"/>
        </w:rPr>
      </w:pPr>
    </w:p>
    <w:p w14:paraId="239E09AF" w14:textId="77777777" w:rsidR="004057C6" w:rsidRDefault="004057C6" w:rsidP="006C4BEE">
      <w:pPr>
        <w:jc w:val="center"/>
        <w:rPr>
          <w:u w:val="single"/>
        </w:rPr>
      </w:pPr>
    </w:p>
    <w:p w14:paraId="1DE9628E" w14:textId="77777777" w:rsidR="004057C6" w:rsidRDefault="004057C6" w:rsidP="006C4BEE">
      <w:pPr>
        <w:jc w:val="center"/>
        <w:rPr>
          <w:u w:val="single"/>
        </w:rPr>
      </w:pPr>
    </w:p>
    <w:p w14:paraId="6C8B9E17" w14:textId="77777777" w:rsidR="004057C6" w:rsidRPr="004057C6" w:rsidRDefault="004057C6" w:rsidP="006C4BEE">
      <w:pPr>
        <w:jc w:val="center"/>
        <w:rPr>
          <w:b/>
          <w:sz w:val="28"/>
          <w:szCs w:val="28"/>
          <w:u w:val="single"/>
        </w:rPr>
      </w:pPr>
    </w:p>
    <w:p w14:paraId="266E3B29" w14:textId="509AB59A" w:rsidR="006C4BEE" w:rsidRDefault="004057C6" w:rsidP="006C4BEE">
      <w:pPr>
        <w:jc w:val="center"/>
        <w:rPr>
          <w:b/>
          <w:sz w:val="28"/>
          <w:szCs w:val="28"/>
          <w:u w:val="single"/>
        </w:rPr>
      </w:pPr>
      <w:r w:rsidRPr="004057C6">
        <w:rPr>
          <w:b/>
          <w:sz w:val="28"/>
          <w:szCs w:val="28"/>
          <w:u w:val="single"/>
        </w:rPr>
        <w:t>A Comprehensive List of Standards for Credential Evaluators</w:t>
      </w:r>
    </w:p>
    <w:p w14:paraId="5A35C33D" w14:textId="09D334E3" w:rsidR="00AF7639" w:rsidRDefault="00AF7639" w:rsidP="006C4BEE">
      <w:pPr>
        <w:jc w:val="center"/>
        <w:rPr>
          <w:b/>
          <w:sz w:val="28"/>
          <w:szCs w:val="28"/>
          <w:u w:val="single"/>
        </w:rPr>
      </w:pPr>
    </w:p>
    <w:p w14:paraId="06A08B89" w14:textId="5815BA8B" w:rsidR="00AF7639" w:rsidRDefault="00AF7639" w:rsidP="006C4BEE">
      <w:pPr>
        <w:jc w:val="center"/>
        <w:rPr>
          <w:b/>
          <w:sz w:val="28"/>
          <w:szCs w:val="28"/>
          <w:u w:val="single"/>
        </w:rPr>
      </w:pPr>
    </w:p>
    <w:p w14:paraId="54A2540A" w14:textId="727EF2E6" w:rsidR="00AF7639" w:rsidRDefault="00AF7639" w:rsidP="006C4BEE">
      <w:pPr>
        <w:jc w:val="center"/>
        <w:rPr>
          <w:b/>
          <w:sz w:val="28"/>
          <w:szCs w:val="28"/>
          <w:u w:val="single"/>
        </w:rPr>
      </w:pPr>
    </w:p>
    <w:p w14:paraId="0B3957A5" w14:textId="31E4129C" w:rsidR="00AF7639" w:rsidRDefault="00AF7639" w:rsidP="006C4BEE">
      <w:pPr>
        <w:jc w:val="center"/>
        <w:rPr>
          <w:b/>
          <w:sz w:val="28"/>
          <w:szCs w:val="28"/>
          <w:u w:val="single"/>
        </w:rPr>
      </w:pPr>
    </w:p>
    <w:p w14:paraId="15AAB0F5" w14:textId="2439474C" w:rsidR="00AF7639" w:rsidRDefault="00AF7639" w:rsidP="006C4BEE">
      <w:pPr>
        <w:jc w:val="center"/>
        <w:rPr>
          <w:b/>
          <w:sz w:val="28"/>
          <w:szCs w:val="28"/>
          <w:u w:val="single"/>
        </w:rPr>
      </w:pPr>
    </w:p>
    <w:p w14:paraId="447104C8" w14:textId="729AE057" w:rsidR="00AF7639" w:rsidRDefault="00AF7639" w:rsidP="006C4BEE">
      <w:pPr>
        <w:jc w:val="center"/>
        <w:rPr>
          <w:b/>
          <w:sz w:val="28"/>
          <w:szCs w:val="28"/>
          <w:u w:val="single"/>
        </w:rPr>
      </w:pPr>
    </w:p>
    <w:p w14:paraId="3A9D6EE7" w14:textId="44B47327" w:rsidR="00AF7639" w:rsidRDefault="00AF7639" w:rsidP="006C4BEE">
      <w:pPr>
        <w:jc w:val="center"/>
        <w:rPr>
          <w:b/>
          <w:sz w:val="28"/>
          <w:szCs w:val="28"/>
          <w:u w:val="single"/>
        </w:rPr>
      </w:pPr>
    </w:p>
    <w:p w14:paraId="59B273D6" w14:textId="2E12BC53" w:rsidR="00AF7639" w:rsidRDefault="00AF7639" w:rsidP="006C4BEE">
      <w:pPr>
        <w:jc w:val="center"/>
        <w:rPr>
          <w:b/>
          <w:sz w:val="28"/>
          <w:szCs w:val="28"/>
          <w:u w:val="single"/>
        </w:rPr>
      </w:pPr>
    </w:p>
    <w:p w14:paraId="1FCF7EFE" w14:textId="76478AA5" w:rsidR="00AF7639" w:rsidRDefault="00AF7639" w:rsidP="006C4BEE">
      <w:pPr>
        <w:jc w:val="center"/>
        <w:rPr>
          <w:b/>
          <w:sz w:val="28"/>
          <w:szCs w:val="28"/>
          <w:u w:val="single"/>
        </w:rPr>
      </w:pPr>
    </w:p>
    <w:p w14:paraId="319EDADF" w14:textId="363F6B76" w:rsidR="00AF7639" w:rsidRDefault="00AF7639" w:rsidP="006C4BEE">
      <w:pPr>
        <w:jc w:val="center"/>
        <w:rPr>
          <w:b/>
          <w:sz w:val="28"/>
          <w:szCs w:val="28"/>
          <w:u w:val="single"/>
        </w:rPr>
      </w:pPr>
    </w:p>
    <w:p w14:paraId="3A0A6E86" w14:textId="3D3EF0A8" w:rsidR="00AF7639" w:rsidRDefault="00AF7639" w:rsidP="006C4BEE">
      <w:pPr>
        <w:jc w:val="center"/>
        <w:rPr>
          <w:b/>
          <w:sz w:val="28"/>
          <w:szCs w:val="28"/>
          <w:u w:val="single"/>
        </w:rPr>
      </w:pPr>
    </w:p>
    <w:p w14:paraId="32A33F0A" w14:textId="3BB62C96" w:rsidR="00AF7639" w:rsidRDefault="00AF7639" w:rsidP="006C4BEE">
      <w:pPr>
        <w:jc w:val="center"/>
        <w:rPr>
          <w:b/>
          <w:sz w:val="28"/>
          <w:szCs w:val="28"/>
          <w:u w:val="single"/>
        </w:rPr>
      </w:pPr>
    </w:p>
    <w:p w14:paraId="56D95B0B" w14:textId="77777777" w:rsidR="00AF7639" w:rsidRDefault="00AF7639" w:rsidP="006C4BEE">
      <w:pPr>
        <w:jc w:val="center"/>
        <w:rPr>
          <w:b/>
          <w:sz w:val="28"/>
          <w:szCs w:val="28"/>
          <w:u w:val="single"/>
        </w:rPr>
      </w:pPr>
    </w:p>
    <w:p w14:paraId="6DC68A6D" w14:textId="211ACCAA" w:rsidR="0058461C" w:rsidRDefault="00203A20" w:rsidP="00203A20">
      <w:pPr>
        <w:spacing w:after="0"/>
        <w:jc w:val="center"/>
        <w:rPr>
          <w:b/>
        </w:rPr>
      </w:pPr>
      <w:r>
        <w:rPr>
          <w:b/>
        </w:rPr>
        <w:t xml:space="preserve">Submitted for review for the GDN </w:t>
      </w:r>
      <w:proofErr w:type="spellStart"/>
      <w:r>
        <w:rPr>
          <w:b/>
        </w:rPr>
        <w:t>Symposioum</w:t>
      </w:r>
      <w:proofErr w:type="spellEnd"/>
      <w:r>
        <w:rPr>
          <w:b/>
        </w:rPr>
        <w:t xml:space="preserve"> on Credential Evaluation Professiona</w:t>
      </w:r>
      <w:r w:rsidR="001B2540">
        <w:rPr>
          <w:b/>
        </w:rPr>
        <w:t>l</w:t>
      </w:r>
      <w:r>
        <w:rPr>
          <w:b/>
        </w:rPr>
        <w:t xml:space="preserve"> Issues</w:t>
      </w:r>
    </w:p>
    <w:p w14:paraId="645B090D" w14:textId="67F996F7" w:rsidR="004057C6" w:rsidRDefault="0058461C" w:rsidP="00203A20">
      <w:pPr>
        <w:spacing w:after="0"/>
        <w:jc w:val="center"/>
        <w:rPr>
          <w:b/>
        </w:rPr>
      </w:pPr>
      <w:r>
        <w:rPr>
          <w:b/>
        </w:rPr>
        <w:t>Written</w:t>
      </w:r>
      <w:r w:rsidR="00871518">
        <w:rPr>
          <w:b/>
        </w:rPr>
        <w:t xml:space="preserve"> by</w:t>
      </w:r>
      <w:r>
        <w:rPr>
          <w:b/>
        </w:rPr>
        <w:t xml:space="preserve">: </w:t>
      </w:r>
      <w:r w:rsidR="004057C6">
        <w:rPr>
          <w:b/>
        </w:rPr>
        <w:t xml:space="preserve">Rebecca </w:t>
      </w:r>
      <w:proofErr w:type="spellStart"/>
      <w:r w:rsidR="004057C6">
        <w:rPr>
          <w:b/>
        </w:rPr>
        <w:t>Chamula</w:t>
      </w:r>
      <w:proofErr w:type="spellEnd"/>
    </w:p>
    <w:p w14:paraId="6459744C" w14:textId="259C0DDB" w:rsidR="00203A20" w:rsidRDefault="00203A20" w:rsidP="00203A20">
      <w:pPr>
        <w:spacing w:after="0"/>
        <w:jc w:val="center"/>
        <w:rPr>
          <w:b/>
        </w:rPr>
      </w:pPr>
      <w:r>
        <w:rPr>
          <w:b/>
        </w:rPr>
        <w:t xml:space="preserve">Senior </w:t>
      </w:r>
      <w:proofErr w:type="spellStart"/>
      <w:r>
        <w:rPr>
          <w:b/>
        </w:rPr>
        <w:t>Credentialling</w:t>
      </w:r>
      <w:proofErr w:type="spellEnd"/>
      <w:r>
        <w:rPr>
          <w:b/>
        </w:rPr>
        <w:t xml:space="preserve"> Officer</w:t>
      </w:r>
    </w:p>
    <w:p w14:paraId="6ECC4839" w14:textId="46E9EAE8" w:rsidR="00203A20" w:rsidRDefault="00203A20" w:rsidP="00203A20">
      <w:pPr>
        <w:spacing w:after="0"/>
        <w:jc w:val="center"/>
        <w:rPr>
          <w:b/>
        </w:rPr>
      </w:pPr>
      <w:r>
        <w:rPr>
          <w:b/>
        </w:rPr>
        <w:t>Canadian Alliance of Physiotherapy Regulators</w:t>
      </w:r>
    </w:p>
    <w:p w14:paraId="25CAB7C1" w14:textId="77777777" w:rsidR="00203A20" w:rsidRDefault="00203A20" w:rsidP="006C4BEE">
      <w:pPr>
        <w:jc w:val="center"/>
        <w:rPr>
          <w:b/>
        </w:rPr>
      </w:pPr>
    </w:p>
    <w:p w14:paraId="6DE0614B" w14:textId="25C2EFEA" w:rsidR="004057C6" w:rsidRDefault="00F62421" w:rsidP="00AF7639">
      <w:pPr>
        <w:jc w:val="center"/>
      </w:pPr>
      <w:r>
        <w:rPr>
          <w:b/>
        </w:rPr>
        <w:t>March 31, 2017</w:t>
      </w:r>
      <w:r w:rsidR="004057C6">
        <w:br w:type="page"/>
      </w:r>
    </w:p>
    <w:p w14:paraId="07FE83FE" w14:textId="43F7E600" w:rsidR="00037639" w:rsidRDefault="00037639" w:rsidP="00F549F5">
      <w:pPr>
        <w:rPr>
          <w:b/>
        </w:rPr>
      </w:pPr>
      <w:r>
        <w:rPr>
          <w:b/>
        </w:rPr>
        <w:lastRenderedPageBreak/>
        <w:t>ACKNOWLEDGEMENTS</w:t>
      </w:r>
    </w:p>
    <w:p w14:paraId="724E8FF1" w14:textId="6F4F997D" w:rsidR="00037639" w:rsidRPr="00037639" w:rsidRDefault="00037639">
      <w:r w:rsidRPr="00037639">
        <w:t xml:space="preserve">I would like to express my gratitude to </w:t>
      </w:r>
      <w:r>
        <w:t xml:space="preserve">my </w:t>
      </w:r>
      <w:proofErr w:type="spellStart"/>
      <w:r>
        <w:t>colleauges</w:t>
      </w:r>
      <w:proofErr w:type="spellEnd"/>
      <w:r>
        <w:t xml:space="preserve"> for their support and collaboration: </w:t>
      </w:r>
      <w:proofErr w:type="spellStart"/>
      <w:r>
        <w:t>Shereen</w:t>
      </w:r>
      <w:proofErr w:type="spellEnd"/>
      <w:r>
        <w:t xml:space="preserve"> Mir-</w:t>
      </w:r>
      <w:proofErr w:type="spellStart"/>
      <w:r>
        <w:t>Jabbar</w:t>
      </w:r>
      <w:proofErr w:type="spellEnd"/>
      <w:r>
        <w:t xml:space="preserve">, Lindsay </w:t>
      </w:r>
      <w:proofErr w:type="spellStart"/>
      <w:r>
        <w:t>Weidelich</w:t>
      </w:r>
      <w:proofErr w:type="spellEnd"/>
      <w:r>
        <w:t xml:space="preserve">, Jennifer </w:t>
      </w:r>
      <w:proofErr w:type="spellStart"/>
      <w:r>
        <w:t>Lippa</w:t>
      </w:r>
      <w:proofErr w:type="spellEnd"/>
      <w:r>
        <w:t xml:space="preserve"> and </w:t>
      </w:r>
      <w:proofErr w:type="spellStart"/>
      <w:r w:rsidR="005A624C" w:rsidRPr="005A624C">
        <w:t>Hervé</w:t>
      </w:r>
      <w:proofErr w:type="spellEnd"/>
      <w:r w:rsidR="005A624C">
        <w:t xml:space="preserve"> </w:t>
      </w:r>
      <w:proofErr w:type="spellStart"/>
      <w:r>
        <w:t>Jodouin</w:t>
      </w:r>
      <w:proofErr w:type="spellEnd"/>
      <w:r>
        <w:t xml:space="preserve">. </w:t>
      </w:r>
      <w:r w:rsidR="005A624C">
        <w:t xml:space="preserve">Your time and efforts are greatly appreciated. I am also indebted </w:t>
      </w:r>
      <w:r>
        <w:t xml:space="preserve">to </w:t>
      </w:r>
      <w:proofErr w:type="spellStart"/>
      <w:r>
        <w:t>Beka</w:t>
      </w:r>
      <w:proofErr w:type="spellEnd"/>
      <w:r>
        <w:t xml:space="preserve"> </w:t>
      </w:r>
      <w:proofErr w:type="spellStart"/>
      <w:r>
        <w:rPr>
          <w:rFonts w:ascii="Tahoma" w:hAnsi="Tahoma" w:cs="Tahoma"/>
          <w:sz w:val="20"/>
          <w:szCs w:val="20"/>
        </w:rPr>
        <w:t>Tavartkiladze</w:t>
      </w:r>
      <w:proofErr w:type="spellEnd"/>
      <w:r>
        <w:rPr>
          <w:rFonts w:ascii="Tahoma" w:hAnsi="Tahoma" w:cs="Tahoma"/>
          <w:sz w:val="20"/>
          <w:szCs w:val="20"/>
        </w:rPr>
        <w:t xml:space="preserve"> for his valuable </w:t>
      </w:r>
      <w:r w:rsidR="005A624C" w:rsidRPr="005A624C">
        <w:rPr>
          <w:rFonts w:ascii="Tahoma" w:hAnsi="Tahoma" w:cs="Tahoma"/>
          <w:sz w:val="20"/>
          <w:szCs w:val="20"/>
        </w:rPr>
        <w:t>insight and expertise</w:t>
      </w:r>
      <w:r w:rsidR="0074400C">
        <w:rPr>
          <w:rFonts w:ascii="Tahoma" w:hAnsi="Tahoma" w:cs="Tahoma"/>
          <w:sz w:val="20"/>
          <w:szCs w:val="20"/>
        </w:rPr>
        <w:t xml:space="preserve">. </w:t>
      </w:r>
      <w:r w:rsidRPr="00037639">
        <w:br w:type="page"/>
      </w:r>
    </w:p>
    <w:p w14:paraId="54016C70" w14:textId="4A1A6982" w:rsidR="00E26E57" w:rsidRPr="0009741E" w:rsidRDefault="00E26E57" w:rsidP="00F549F5">
      <w:pPr>
        <w:rPr>
          <w:b/>
        </w:rPr>
      </w:pPr>
      <w:r w:rsidRPr="0009741E">
        <w:rPr>
          <w:b/>
        </w:rPr>
        <w:lastRenderedPageBreak/>
        <w:t>INTRODUCTION</w:t>
      </w:r>
    </w:p>
    <w:p w14:paraId="55A9D7A2" w14:textId="21615720" w:rsidR="006C4BEE" w:rsidRDefault="00E1773E" w:rsidP="00F549F5">
      <w:r>
        <w:t>The Groningen Declaration seeks t</w:t>
      </w:r>
      <w:r w:rsidR="00642069">
        <w:t>o address the needs of the ever</w:t>
      </w:r>
      <w:r>
        <w:t xml:space="preserve"> growing </w:t>
      </w:r>
      <w:r w:rsidR="005D25E1">
        <w:t>globally mobile</w:t>
      </w:r>
      <w:r>
        <w:t xml:space="preserve"> workforce and international student</w:t>
      </w:r>
      <w:r w:rsidR="004048C9">
        <w:t xml:space="preserve"> population</w:t>
      </w:r>
      <w:r w:rsidR="00B968AB">
        <w:t xml:space="preserve"> through the development of a Digital Student Data Ecosystem</w:t>
      </w:r>
      <w:r>
        <w:t xml:space="preserve">. </w:t>
      </w:r>
      <w:r w:rsidR="00D55E37">
        <w:t xml:space="preserve"> </w:t>
      </w:r>
      <w:r w:rsidR="00F3285D">
        <w:t>This e</w:t>
      </w:r>
      <w:r w:rsidR="00D55E37">
        <w:t>cosystem, which is comprised of digital student data depositories, would improve upon the pace, ease</w:t>
      </w:r>
      <w:r w:rsidR="00A04641">
        <w:t>,</w:t>
      </w:r>
      <w:r w:rsidR="00D55E37">
        <w:t xml:space="preserve"> and accuracy of transmitting student data. </w:t>
      </w:r>
      <w:r w:rsidR="00B968AB">
        <w:t xml:space="preserve">The Groningen Declaration Network has identified </w:t>
      </w:r>
      <w:r w:rsidR="002F6193">
        <w:t>its main</w:t>
      </w:r>
      <w:r>
        <w:t xml:space="preserve"> goal </w:t>
      </w:r>
      <w:r w:rsidR="00346BFA">
        <w:t xml:space="preserve">as </w:t>
      </w:r>
      <w:r w:rsidR="00B968AB">
        <w:t>the</w:t>
      </w:r>
      <w:r>
        <w:t xml:space="preserve"> </w:t>
      </w:r>
      <w:r w:rsidR="009E7BDB">
        <w:t>develop</w:t>
      </w:r>
      <w:r w:rsidR="00B968AB">
        <w:t>ment of</w:t>
      </w:r>
      <w:r>
        <w:t xml:space="preserve"> </w:t>
      </w:r>
      <w:r w:rsidR="00777570">
        <w:t>“</w:t>
      </w:r>
      <w:r>
        <w:t>best practice</w:t>
      </w:r>
      <w:r w:rsidR="00642069">
        <w:t>s</w:t>
      </w:r>
      <w:r>
        <w:t xml:space="preserve"> and </w:t>
      </w:r>
      <w:r w:rsidR="008F5F0E">
        <w:t>globally-</w:t>
      </w:r>
      <w:r>
        <w:t>accepted standards for secure</w:t>
      </w:r>
      <w:r w:rsidR="00AD7498">
        <w:t>, citizen-centered consultation</w:t>
      </w:r>
      <w:r>
        <w:t xml:space="preserve"> and </w:t>
      </w:r>
      <w:r w:rsidR="008F5F0E">
        <w:t xml:space="preserve">portability of </w:t>
      </w:r>
      <w:r>
        <w:t>digital student data</w:t>
      </w:r>
      <w:r w:rsidR="00777570">
        <w:t>”</w:t>
      </w:r>
      <w:r>
        <w:t xml:space="preserve"> (</w:t>
      </w:r>
      <w:r w:rsidR="009276E7">
        <w:t>Groningen Declaration Network [</w:t>
      </w:r>
      <w:r w:rsidR="00523EAB">
        <w:t>GDN</w:t>
      </w:r>
      <w:r w:rsidR="009276E7">
        <w:t>],</w:t>
      </w:r>
      <w:r w:rsidR="0075455B">
        <w:t xml:space="preserve"> 2015,</w:t>
      </w:r>
      <w:r w:rsidR="009276E7">
        <w:t xml:space="preserve"> </w:t>
      </w:r>
      <w:r>
        <w:t xml:space="preserve">p. 1).  </w:t>
      </w:r>
      <w:r w:rsidR="00FB7C86">
        <w:t xml:space="preserve">The following standards are recommended </w:t>
      </w:r>
      <w:r w:rsidR="00A04641">
        <w:t>for implementation</w:t>
      </w:r>
      <w:r w:rsidR="00FB7C86">
        <w:t xml:space="preserve"> as </w:t>
      </w:r>
      <w:r w:rsidR="00F634B4">
        <w:t xml:space="preserve">international </w:t>
      </w:r>
      <w:r w:rsidR="00FB7C86">
        <w:t xml:space="preserve">standards for </w:t>
      </w:r>
      <w:r w:rsidR="00F634B4">
        <w:t xml:space="preserve">the use and acceptance of </w:t>
      </w:r>
      <w:r w:rsidR="00FB7C86">
        <w:t>digital student records</w:t>
      </w:r>
      <w:r w:rsidR="00B968AB">
        <w:t>. Specifically, these standards are meant to address</w:t>
      </w:r>
      <w:r w:rsidR="00F549F5">
        <w:t xml:space="preserve"> the needs of credential evaluators in assessing international</w:t>
      </w:r>
      <w:r w:rsidR="00457D50">
        <w:t>ly</w:t>
      </w:r>
      <w:r w:rsidR="00F634B4">
        <w:t xml:space="preserve"> </w:t>
      </w:r>
      <w:r w:rsidR="00F549F5">
        <w:t xml:space="preserve">obtained </w:t>
      </w:r>
      <w:r w:rsidR="00457D50">
        <w:t xml:space="preserve">academic </w:t>
      </w:r>
      <w:r w:rsidR="00F549F5">
        <w:t>credentials</w:t>
      </w:r>
      <w:r w:rsidR="00B83AE1">
        <w:t xml:space="preserve">, while </w:t>
      </w:r>
      <w:r w:rsidR="009E7BDB">
        <w:t>balancing</w:t>
      </w:r>
      <w:r w:rsidR="00B83AE1">
        <w:t xml:space="preserve"> the Declaration</w:t>
      </w:r>
      <w:r w:rsidR="00642069">
        <w:t>’</w:t>
      </w:r>
      <w:r w:rsidR="00B83AE1">
        <w:t xml:space="preserve">s overriding </w:t>
      </w:r>
      <w:r w:rsidR="009E7BDB">
        <w:t>principles</w:t>
      </w:r>
      <w:r w:rsidR="00B83AE1">
        <w:t xml:space="preserve"> of </w:t>
      </w:r>
      <w:r w:rsidR="009E7BDB">
        <w:t>respecting</w:t>
      </w:r>
      <w:r w:rsidR="00B83AE1">
        <w:t xml:space="preserve"> autonomy and diversity of sys</w:t>
      </w:r>
      <w:r w:rsidR="00EA551E">
        <w:t>tems and modes of delivery (</w:t>
      </w:r>
      <w:r w:rsidR="00D530D9">
        <w:t>Groningen Declaration, 2012</w:t>
      </w:r>
      <w:r w:rsidR="00EA551E">
        <w:t>).</w:t>
      </w:r>
      <w:r w:rsidR="006A54D0">
        <w:t xml:space="preserve"> The</w:t>
      </w:r>
      <w:r w:rsidR="002F6193">
        <w:t>y</w:t>
      </w:r>
      <w:r w:rsidR="006A54D0">
        <w:t xml:space="preserve"> strive to allow for flexibility in the way institutions send digital student data, while ensuring that the student’s record contains all of the data need</w:t>
      </w:r>
      <w:r w:rsidR="00747BFF">
        <w:t>ed</w:t>
      </w:r>
      <w:r w:rsidR="006A54D0">
        <w:t xml:space="preserve"> by credential evaluators for the purpose of assessing a</w:t>
      </w:r>
      <w:r w:rsidR="00A23A19">
        <w:t>n academic</w:t>
      </w:r>
      <w:r w:rsidR="006A54D0">
        <w:t xml:space="preserve"> credential.  </w:t>
      </w:r>
      <w:r w:rsidR="000D4815">
        <w:t>While it is understood that the implementation of these standards will vary owing to different contexts and institutions, t</w:t>
      </w:r>
      <w:r w:rsidR="00EA551E">
        <w:t xml:space="preserve">hese standards </w:t>
      </w:r>
      <w:r w:rsidR="00FD2950">
        <w:t>should be considered</w:t>
      </w:r>
      <w:r w:rsidR="00E26E57">
        <w:t xml:space="preserve"> by all organizations</w:t>
      </w:r>
      <w:r w:rsidR="00A04641">
        <w:t xml:space="preserve"> </w:t>
      </w:r>
      <w:proofErr w:type="gramStart"/>
      <w:r w:rsidR="00A04641">
        <w:t>who</w:t>
      </w:r>
      <w:proofErr w:type="gramEnd"/>
      <w:r w:rsidR="005D25E1">
        <w:t xml:space="preserve"> creat</w:t>
      </w:r>
      <w:r w:rsidR="00A04641">
        <w:t>e</w:t>
      </w:r>
      <w:r w:rsidR="005D25E1">
        <w:t>, stor</w:t>
      </w:r>
      <w:r w:rsidR="00A04641">
        <w:t>e,</w:t>
      </w:r>
      <w:r w:rsidR="005D25E1">
        <w:t xml:space="preserve"> and </w:t>
      </w:r>
      <w:r w:rsidR="00E26E57">
        <w:t xml:space="preserve">transfer electronic student data for the </w:t>
      </w:r>
      <w:r w:rsidR="000B735E">
        <w:t>purpose</w:t>
      </w:r>
      <w:r w:rsidR="00E26E57">
        <w:t xml:space="preserve"> of credential evaluation.</w:t>
      </w:r>
    </w:p>
    <w:p w14:paraId="6FC23E9C" w14:textId="77777777" w:rsidR="0046742C" w:rsidRDefault="0046742C" w:rsidP="00F549F5"/>
    <w:p w14:paraId="09E8E1EF" w14:textId="30AC9277" w:rsidR="00F549F5" w:rsidRDefault="00B11BEC" w:rsidP="00B11BEC">
      <w:pPr>
        <w:rPr>
          <w:b/>
        </w:rPr>
      </w:pPr>
      <w:r w:rsidRPr="0009741E">
        <w:rPr>
          <w:b/>
        </w:rPr>
        <w:t>STANDARDS</w:t>
      </w:r>
    </w:p>
    <w:p w14:paraId="463039A8" w14:textId="14232C4E" w:rsidR="00B866F5" w:rsidRPr="000D21D8" w:rsidRDefault="006C4BEE" w:rsidP="00214F58">
      <w:pPr>
        <w:rPr>
          <w:b/>
        </w:rPr>
      </w:pPr>
      <w:r w:rsidRPr="007A1E80">
        <w:rPr>
          <w:b/>
          <w:i/>
        </w:rPr>
        <w:t>Security</w:t>
      </w:r>
      <w:r w:rsidRPr="000D21D8">
        <w:rPr>
          <w:b/>
        </w:rPr>
        <w:t xml:space="preserve"> </w:t>
      </w:r>
      <w:r w:rsidR="00B866F5" w:rsidRPr="000D21D8">
        <w:rPr>
          <w:b/>
        </w:rPr>
        <w:t>–</w:t>
      </w:r>
      <w:r w:rsidR="00214F58" w:rsidRPr="000D21D8">
        <w:rPr>
          <w:b/>
        </w:rPr>
        <w:t xml:space="preserve"> </w:t>
      </w:r>
      <w:r w:rsidR="00B866F5" w:rsidRPr="000D21D8">
        <w:rPr>
          <w:b/>
        </w:rPr>
        <w:t xml:space="preserve">The student data record must be delivered to credential evaluators </w:t>
      </w:r>
      <w:r w:rsidR="00086A3D">
        <w:rPr>
          <w:b/>
        </w:rPr>
        <w:t>through a digitally secure technology</w:t>
      </w:r>
      <w:r w:rsidR="00B866F5" w:rsidRPr="000D21D8">
        <w:rPr>
          <w:b/>
        </w:rPr>
        <w:t xml:space="preserve"> which allows a credential evaluator to determine, with certainty, that the data has been securely </w:t>
      </w:r>
      <w:r w:rsidR="00F42928" w:rsidRPr="000D21D8">
        <w:rPr>
          <w:b/>
        </w:rPr>
        <w:t>tr</w:t>
      </w:r>
      <w:r w:rsidR="00C43EF5" w:rsidRPr="000D21D8">
        <w:rPr>
          <w:b/>
        </w:rPr>
        <w:t xml:space="preserve">ansferred to </w:t>
      </w:r>
      <w:r w:rsidR="00777570">
        <w:rPr>
          <w:b/>
        </w:rPr>
        <w:t>the</w:t>
      </w:r>
      <w:r w:rsidR="001370A4">
        <w:rPr>
          <w:b/>
        </w:rPr>
        <w:t xml:space="preserve"> </w:t>
      </w:r>
      <w:r w:rsidR="007329D0">
        <w:rPr>
          <w:b/>
        </w:rPr>
        <w:t>receiver’s database</w:t>
      </w:r>
      <w:r w:rsidR="00C43EF5" w:rsidRPr="000D21D8">
        <w:rPr>
          <w:b/>
        </w:rPr>
        <w:t xml:space="preserve">, free from alteration or modification.  </w:t>
      </w:r>
    </w:p>
    <w:p w14:paraId="4320C5D6" w14:textId="7CFD21DD" w:rsidR="000D21D8" w:rsidRDefault="000D21D8" w:rsidP="000D21D8">
      <w:r>
        <w:t>As a core value of the Groningen Declaration</w:t>
      </w:r>
      <w:r w:rsidR="00406276">
        <w:t>,</w:t>
      </w:r>
      <w:r>
        <w:t xml:space="preserve"> it comes naturally that security </w:t>
      </w:r>
      <w:r w:rsidR="00406276">
        <w:t>should be</w:t>
      </w:r>
      <w:r>
        <w:t xml:space="preserve"> one of the primary standards that must be met for credential evaluators</w:t>
      </w:r>
      <w:r w:rsidR="002A4B9E">
        <w:t xml:space="preserve"> (</w:t>
      </w:r>
      <w:r w:rsidR="00523EAB">
        <w:t>GDN</w:t>
      </w:r>
      <w:r w:rsidR="002A4B9E" w:rsidRPr="00561915">
        <w:t>,</w:t>
      </w:r>
      <w:r w:rsidR="0075455B">
        <w:t xml:space="preserve"> 2015,</w:t>
      </w:r>
      <w:r w:rsidR="002A4B9E" w:rsidRPr="00561915">
        <w:t xml:space="preserve"> pg. 1</w:t>
      </w:r>
      <w:r w:rsidR="002A4B9E">
        <w:t>)</w:t>
      </w:r>
      <w:r>
        <w:t xml:space="preserve">. Ensuring that digital student data is securely transferred would be one, if not the first, point of evaluation in any assessment.  </w:t>
      </w:r>
      <w:r w:rsidRPr="000D21D8">
        <w:t>While there are many reasons from the student’s perspective to have security standards in place, there are also reasons from an evaluator</w:t>
      </w:r>
      <w:r w:rsidR="00406276">
        <w:t>’</w:t>
      </w:r>
      <w:r w:rsidRPr="000D21D8">
        <w:t>s perspective. An evaluator needs to know that the student data has been guarded against alteration or modification (</w:t>
      </w:r>
      <w:r w:rsidR="00523EAB">
        <w:t>GDN</w:t>
      </w:r>
      <w:r w:rsidRPr="000D21D8">
        <w:t>,</w:t>
      </w:r>
      <w:r w:rsidR="0075455B">
        <w:t xml:space="preserve"> 2015,</w:t>
      </w:r>
      <w:r w:rsidRPr="000D21D8">
        <w:t xml:space="preserve"> pg. 3).</w:t>
      </w:r>
      <w:r w:rsidR="00C06166">
        <w:t xml:space="preserve"> For the proposed Digital Student Data Ecosystem to work</w:t>
      </w:r>
      <w:r w:rsidR="00406276">
        <w:t>,</w:t>
      </w:r>
      <w:r w:rsidR="00C06166">
        <w:t xml:space="preserve"> credential evaluators need to be able to trust the original data source.</w:t>
      </w:r>
      <w:r w:rsidR="00D874EC">
        <w:t xml:space="preserve"> It is also an essential part of the assessment process that evaluators be able to determine that the student</w:t>
      </w:r>
      <w:r w:rsidR="00B84E53">
        <w:t>’s</w:t>
      </w:r>
      <w:r w:rsidR="00D874EC">
        <w:t xml:space="preserve"> record was </w:t>
      </w:r>
      <w:r w:rsidR="00FB1391">
        <w:t>securely transferred to them</w:t>
      </w:r>
      <w:r w:rsidR="00D874EC">
        <w:t xml:space="preserve"> in accorda</w:t>
      </w:r>
      <w:r w:rsidR="00302560">
        <w:t xml:space="preserve">nce </w:t>
      </w:r>
      <w:r w:rsidR="00FE76FF">
        <w:t>with</w:t>
      </w:r>
      <w:r w:rsidR="00F41AC2">
        <w:t xml:space="preserve"> existing</w:t>
      </w:r>
      <w:r w:rsidR="00302560">
        <w:t xml:space="preserve"> standards and pol</w:t>
      </w:r>
      <w:r w:rsidR="00D874EC">
        <w:t xml:space="preserve">icies for the </w:t>
      </w:r>
      <w:r w:rsidR="00302560">
        <w:t xml:space="preserve">specific country, level and type of education. </w:t>
      </w:r>
      <w:r w:rsidR="00B84E53">
        <w:t xml:space="preserve">By receiving documentation in a secure manner, the relationship between the credential evaluators and the senders of the original </w:t>
      </w:r>
      <w:proofErr w:type="gramStart"/>
      <w:r w:rsidR="00B84E53">
        <w:t>data,</w:t>
      </w:r>
      <w:proofErr w:type="gramEnd"/>
      <w:r w:rsidR="00B84E53">
        <w:t xml:space="preserve"> will also be strengthened as they will become trusted points of contact if further clarification or information is required.</w:t>
      </w:r>
    </w:p>
    <w:p w14:paraId="0631B56D" w14:textId="77777777" w:rsidR="00F42928" w:rsidRDefault="006C4BEE" w:rsidP="00214F58">
      <w:pPr>
        <w:rPr>
          <w:b/>
        </w:rPr>
      </w:pPr>
      <w:r w:rsidRPr="007A1E80">
        <w:rPr>
          <w:b/>
          <w:i/>
        </w:rPr>
        <w:t>Verification</w:t>
      </w:r>
      <w:r w:rsidR="00214F58" w:rsidRPr="00C06166">
        <w:rPr>
          <w:b/>
        </w:rPr>
        <w:t xml:space="preserve"> </w:t>
      </w:r>
      <w:r w:rsidR="00F42928" w:rsidRPr="00C06166">
        <w:rPr>
          <w:b/>
        </w:rPr>
        <w:t>–</w:t>
      </w:r>
      <w:r w:rsidR="00214F58" w:rsidRPr="00C06166">
        <w:rPr>
          <w:b/>
        </w:rPr>
        <w:t xml:space="preserve"> </w:t>
      </w:r>
      <w:r w:rsidR="00C43EF5" w:rsidRPr="00C06166">
        <w:rPr>
          <w:b/>
        </w:rPr>
        <w:t xml:space="preserve">The credential evaluator must be able to authenticate the digital student record and </w:t>
      </w:r>
      <w:r w:rsidR="00EA6937" w:rsidRPr="00C06166">
        <w:rPr>
          <w:b/>
        </w:rPr>
        <w:t xml:space="preserve">the </w:t>
      </w:r>
      <w:r w:rsidR="00C43EF5" w:rsidRPr="00C06166">
        <w:rPr>
          <w:b/>
        </w:rPr>
        <w:t xml:space="preserve">data contained therein with the issuing institution. </w:t>
      </w:r>
    </w:p>
    <w:p w14:paraId="3C09C9ED" w14:textId="127A88B1" w:rsidR="00086A3D" w:rsidRDefault="00267F86" w:rsidP="00545126">
      <w:r>
        <w:t>In conjunction with</w:t>
      </w:r>
      <w:r w:rsidRPr="00086A3D">
        <w:t xml:space="preserve"> security</w:t>
      </w:r>
      <w:r w:rsidR="00636F06">
        <w:t>, authentication of the academic credential is vital. T</w:t>
      </w:r>
      <w:r w:rsidR="00086A3D" w:rsidRPr="00086A3D">
        <w:t xml:space="preserve">he credential evaluator </w:t>
      </w:r>
      <w:r w:rsidR="001B0F86">
        <w:t>must</w:t>
      </w:r>
      <w:r w:rsidR="00086A3D" w:rsidRPr="00086A3D">
        <w:t xml:space="preserve"> be able to verify that the digital student record they are assessing is legitimate. </w:t>
      </w:r>
      <w:r w:rsidR="001B0F86">
        <w:t>Modern technology has increased the ability for a common user to manipulate or fabricate data.</w:t>
      </w:r>
      <w:r w:rsidR="00545126">
        <w:t xml:space="preserve"> </w:t>
      </w:r>
      <w:proofErr w:type="gramStart"/>
      <w:r w:rsidR="00545126">
        <w:t xml:space="preserve">According to </w:t>
      </w:r>
      <w:r w:rsidR="00545126">
        <w:lastRenderedPageBreak/>
        <w:t xml:space="preserve">the </w:t>
      </w:r>
      <w:r w:rsidR="00BA5484" w:rsidRPr="0009741E">
        <w:t xml:space="preserve">Higher Education Degree </w:t>
      </w:r>
      <w:proofErr w:type="spellStart"/>
      <w:r w:rsidR="00BA5484" w:rsidRPr="0009741E">
        <w:t>Datacheck</w:t>
      </w:r>
      <w:proofErr w:type="spellEnd"/>
      <w:r w:rsidR="00BA5484">
        <w:t xml:space="preserve"> </w:t>
      </w:r>
      <w:r w:rsidR="00545126">
        <w:t>(2016), “there is reported to be a growing number of instances of misrepresentation and forgery in the presentation of academic credentials”</w:t>
      </w:r>
      <w:r w:rsidR="000218A3">
        <w:t xml:space="preserve"> (</w:t>
      </w:r>
      <w:r w:rsidR="00600B41">
        <w:t>p. 2</w:t>
      </w:r>
      <w:r w:rsidR="000218A3">
        <w:t>).</w:t>
      </w:r>
      <w:proofErr w:type="gramEnd"/>
      <w:r w:rsidR="00545126">
        <w:t xml:space="preserve"> </w:t>
      </w:r>
      <w:r w:rsidR="008F4394">
        <w:t>It is imperative that a verification process exist to protect the integrity of the credential evaluation process by reducing the risk of fraud, while also reducing barriers to student mobility</w:t>
      </w:r>
      <w:r w:rsidR="00556770">
        <w:t xml:space="preserve"> for legitimate students</w:t>
      </w:r>
      <w:r w:rsidR="008F4394">
        <w:t xml:space="preserve">. </w:t>
      </w:r>
      <w:r w:rsidR="001B0F86">
        <w:t>To ensure protection against fraudulent documents, c</w:t>
      </w:r>
      <w:r w:rsidR="00086A3D" w:rsidRPr="00086A3D">
        <w:t xml:space="preserve">redential evaluators must be able to verify with the </w:t>
      </w:r>
      <w:r w:rsidR="006333DB">
        <w:t xml:space="preserve">issuing </w:t>
      </w:r>
      <w:r w:rsidR="00086A3D" w:rsidRPr="00086A3D">
        <w:t xml:space="preserve">authority that </w:t>
      </w:r>
      <w:r w:rsidR="007C0114">
        <w:t>the credential</w:t>
      </w:r>
      <w:r w:rsidR="00086A3D" w:rsidRPr="00086A3D">
        <w:t xml:space="preserve"> and related student data that </w:t>
      </w:r>
      <w:r w:rsidR="007C0114">
        <w:t>they</w:t>
      </w:r>
      <w:r w:rsidR="00086A3D" w:rsidRPr="00086A3D">
        <w:t xml:space="preserve"> </w:t>
      </w:r>
      <w:r w:rsidR="001B0F86">
        <w:t>have received</w:t>
      </w:r>
      <w:r w:rsidR="00086A3D" w:rsidRPr="00086A3D">
        <w:t xml:space="preserve"> is authentic and accurate</w:t>
      </w:r>
      <w:r w:rsidR="008F4394">
        <w:t>.</w:t>
      </w:r>
      <w:r w:rsidR="001B0F86">
        <w:t xml:space="preserve"> </w:t>
      </w:r>
      <w:r>
        <w:t>It is recommended that signatories to the Declaration</w:t>
      </w:r>
      <w:r w:rsidR="008D672D">
        <w:t xml:space="preserve"> implement a verification process for credential evaluators that is</w:t>
      </w:r>
      <w:r w:rsidR="00AF1E8D">
        <w:t xml:space="preserve"> delivered in a timely manner, </w:t>
      </w:r>
      <w:r w:rsidR="008F4394">
        <w:t xml:space="preserve">is </w:t>
      </w:r>
      <w:r w:rsidR="00AF1E8D">
        <w:t>easily accessible</w:t>
      </w:r>
      <w:r w:rsidR="00677119">
        <w:t>,</w:t>
      </w:r>
      <w:r w:rsidR="00AF1E8D">
        <w:t xml:space="preserve"> and </w:t>
      </w:r>
      <w:r w:rsidR="008F4394">
        <w:t xml:space="preserve">is </w:t>
      </w:r>
      <w:r w:rsidR="00AF1E8D">
        <w:t>straightforward to interpret and use</w:t>
      </w:r>
      <w:r w:rsidR="008F4394">
        <w:t xml:space="preserve"> </w:t>
      </w:r>
      <w:r w:rsidR="007C0114">
        <w:t>for all digital student records.</w:t>
      </w:r>
      <w:r w:rsidR="001B0F86">
        <w:t xml:space="preserve"> </w:t>
      </w:r>
      <w:r>
        <w:t xml:space="preserve">The method of verification employed by institutions will vary dependent upon the resources available to those institutions. </w:t>
      </w:r>
    </w:p>
    <w:p w14:paraId="5BCD1BDF" w14:textId="77777777" w:rsidR="00DC3198" w:rsidRDefault="00DC3198" w:rsidP="00DC3198">
      <w:pPr>
        <w:rPr>
          <w:b/>
        </w:rPr>
      </w:pPr>
      <w:r w:rsidRPr="007A1E80">
        <w:rPr>
          <w:b/>
          <w:i/>
        </w:rPr>
        <w:t>Data Quality</w:t>
      </w:r>
      <w:r>
        <w:rPr>
          <w:b/>
        </w:rPr>
        <w:t xml:space="preserve"> – Institutions housing and transferring digital student data must have a policy for quality assurance to ensure that student data is accurate, complete and up-to-date. </w:t>
      </w:r>
    </w:p>
    <w:p w14:paraId="66B331F8" w14:textId="208E2439" w:rsidR="00DC3198" w:rsidRDefault="00DC3198" w:rsidP="00DC3198">
      <w:r>
        <w:t>It is essential that iss</w:t>
      </w:r>
      <w:r w:rsidRPr="00BF3A94">
        <w:t xml:space="preserve">uing institutions </w:t>
      </w:r>
      <w:r>
        <w:t>put into practice</w:t>
      </w:r>
      <w:r w:rsidRPr="00BF3A94">
        <w:t xml:space="preserve"> a system of ensuring that data transferred </w:t>
      </w:r>
      <w:r>
        <w:t xml:space="preserve">electronically </w:t>
      </w:r>
      <w:r w:rsidRPr="00BF3A94">
        <w:t>to</w:t>
      </w:r>
      <w:r>
        <w:t xml:space="preserve"> a</w:t>
      </w:r>
      <w:r w:rsidRPr="00BF3A94">
        <w:t xml:space="preserve"> recipient </w:t>
      </w:r>
      <w:r>
        <w:t>institution</w:t>
      </w:r>
      <w:r w:rsidRPr="00BF3A94">
        <w:t xml:space="preserve"> </w:t>
      </w:r>
      <w:r>
        <w:t xml:space="preserve">meets this standard. They must </w:t>
      </w:r>
      <w:r w:rsidR="005552A2">
        <w:t>be able</w:t>
      </w:r>
      <w:r>
        <w:t xml:space="preserve"> to identify inconsistencies and errors in their records. In addition, similar to diploma supplements, electronic student data records should “be free from any value judgements, equivalence statements or suggestions about recognition” (European </w:t>
      </w:r>
      <w:proofErr w:type="spellStart"/>
      <w:r>
        <w:t>Comission</w:t>
      </w:r>
      <w:proofErr w:type="spellEnd"/>
      <w:r w:rsidR="00213142">
        <w:t>, 2007</w:t>
      </w:r>
      <w:r>
        <w:t>).  When these systems are in place, the credential evaluator will be able to determine with confidence that the student data they are receiving is from a trustworthy and reliable source and that the data is free from error, contains sufficient information, and is up-to-date.</w:t>
      </w:r>
    </w:p>
    <w:p w14:paraId="7A546902" w14:textId="3B425ECF" w:rsidR="006C4BEE" w:rsidRPr="00E552AD" w:rsidRDefault="00423BCF" w:rsidP="006C4BEE">
      <w:r w:rsidRPr="00E552AD">
        <w:rPr>
          <w:b/>
          <w:i/>
        </w:rPr>
        <w:t>Informed</w:t>
      </w:r>
      <w:r w:rsidR="006052C1" w:rsidRPr="00E552AD">
        <w:rPr>
          <w:b/>
          <w:i/>
        </w:rPr>
        <w:t xml:space="preserve"> Consent</w:t>
      </w:r>
      <w:r w:rsidR="00886E1A">
        <w:rPr>
          <w:b/>
          <w:i/>
        </w:rPr>
        <w:t xml:space="preserve"> </w:t>
      </w:r>
      <w:r w:rsidR="00774EBE" w:rsidRPr="00E552AD">
        <w:rPr>
          <w:b/>
        </w:rPr>
        <w:t>–</w:t>
      </w:r>
      <w:r w:rsidR="00D967E1" w:rsidRPr="00E552AD">
        <w:rPr>
          <w:b/>
        </w:rPr>
        <w:t xml:space="preserve"> </w:t>
      </w:r>
      <w:r w:rsidR="000B735E" w:rsidRPr="00E552AD">
        <w:rPr>
          <w:b/>
        </w:rPr>
        <w:t xml:space="preserve">The digital student record must include sufficient information for a credential evaluator to confirm </w:t>
      </w:r>
      <w:r w:rsidR="00774EBE" w:rsidRPr="00E552AD">
        <w:rPr>
          <w:b/>
        </w:rPr>
        <w:t>that</w:t>
      </w:r>
      <w:r w:rsidR="00214F7B" w:rsidRPr="00E552AD">
        <w:rPr>
          <w:b/>
        </w:rPr>
        <w:t xml:space="preserve"> the</w:t>
      </w:r>
      <w:r w:rsidR="00774EBE" w:rsidRPr="00E552AD">
        <w:rPr>
          <w:b/>
        </w:rPr>
        <w:t xml:space="preserve"> student provided informed consent </w:t>
      </w:r>
      <w:r w:rsidR="00560436" w:rsidRPr="00E552AD">
        <w:rPr>
          <w:b/>
        </w:rPr>
        <w:t xml:space="preserve">regarding the </w:t>
      </w:r>
      <w:r w:rsidR="00774EBE" w:rsidRPr="00E552AD">
        <w:rPr>
          <w:b/>
        </w:rPr>
        <w:t>releas</w:t>
      </w:r>
      <w:r w:rsidR="00560436" w:rsidRPr="00E552AD">
        <w:rPr>
          <w:b/>
        </w:rPr>
        <w:t>e</w:t>
      </w:r>
      <w:r w:rsidR="00774EBE" w:rsidRPr="00E552AD">
        <w:rPr>
          <w:b/>
        </w:rPr>
        <w:t xml:space="preserve"> </w:t>
      </w:r>
      <w:r w:rsidR="00560436" w:rsidRPr="00E552AD">
        <w:rPr>
          <w:b/>
        </w:rPr>
        <w:t xml:space="preserve">of their data </w:t>
      </w:r>
      <w:r w:rsidR="00774EBE" w:rsidRPr="00E552AD">
        <w:rPr>
          <w:b/>
        </w:rPr>
        <w:t xml:space="preserve">to </w:t>
      </w:r>
      <w:r w:rsidR="00560436" w:rsidRPr="00E552AD">
        <w:rPr>
          <w:b/>
        </w:rPr>
        <w:t xml:space="preserve">a </w:t>
      </w:r>
      <w:r w:rsidR="004B25EA" w:rsidRPr="00E552AD">
        <w:rPr>
          <w:b/>
        </w:rPr>
        <w:t>third party evaluator</w:t>
      </w:r>
      <w:r w:rsidR="00774EBE" w:rsidRPr="00E552AD">
        <w:rPr>
          <w:b/>
        </w:rPr>
        <w:t>.</w:t>
      </w:r>
      <w:r w:rsidR="00774EBE" w:rsidRPr="00E552AD">
        <w:t xml:space="preserve">  </w:t>
      </w:r>
    </w:p>
    <w:p w14:paraId="134D6592" w14:textId="3E930B46" w:rsidR="00DC5900" w:rsidRDefault="00560436" w:rsidP="00DC5900">
      <w:r w:rsidRPr="00E552AD">
        <w:t>Another</w:t>
      </w:r>
      <w:r w:rsidR="00DC5900" w:rsidRPr="00E552AD">
        <w:t xml:space="preserve"> core value of the Groningen Declaration</w:t>
      </w:r>
      <w:r w:rsidR="00214F7B" w:rsidRPr="00E552AD">
        <w:t>,</w:t>
      </w:r>
      <w:r w:rsidR="00DC5900" w:rsidRPr="00E552AD">
        <w:t xml:space="preserve"> privacy</w:t>
      </w:r>
      <w:r w:rsidR="002E2F08" w:rsidRPr="00E552AD">
        <w:t>, includes the principle of informed consent (</w:t>
      </w:r>
      <w:r w:rsidR="00523EAB">
        <w:t>GDN</w:t>
      </w:r>
      <w:r w:rsidR="00650DAA">
        <w:t xml:space="preserve">, </w:t>
      </w:r>
      <w:r w:rsidR="0075455B">
        <w:t xml:space="preserve">2015, </w:t>
      </w:r>
      <w:r w:rsidR="00650DAA">
        <w:t>p. 2</w:t>
      </w:r>
      <w:r w:rsidR="002E2F08" w:rsidRPr="00E552AD">
        <w:t>). A student’s informed consent</w:t>
      </w:r>
      <w:r w:rsidR="00DC5900" w:rsidRPr="00E552AD">
        <w:t xml:space="preserve"> </w:t>
      </w:r>
      <w:r w:rsidR="008C5A00" w:rsidRPr="00E552AD">
        <w:t>must be</w:t>
      </w:r>
      <w:r w:rsidR="00DC5900" w:rsidRPr="00E552AD">
        <w:t xml:space="preserve"> </w:t>
      </w:r>
      <w:r w:rsidR="008C5A00" w:rsidRPr="00E552AD">
        <w:t>obtained</w:t>
      </w:r>
      <w:r w:rsidR="00DC5900" w:rsidRPr="00E552AD">
        <w:t xml:space="preserve"> </w:t>
      </w:r>
      <w:r w:rsidR="00677119" w:rsidRPr="00E552AD">
        <w:t>before a credential evaluator can assess t</w:t>
      </w:r>
      <w:r w:rsidR="00DC09AB" w:rsidRPr="00E552AD">
        <w:t>heir information</w:t>
      </w:r>
      <w:r w:rsidR="000C0C0A" w:rsidRPr="00E552AD">
        <w:t xml:space="preserve">. The purpose of obtaining student consent is </w:t>
      </w:r>
      <w:r w:rsidR="00DC09AB" w:rsidRPr="00E552AD">
        <w:t>to ensure that the individual who requested the data to be reviewed for assessment has provided</w:t>
      </w:r>
      <w:r w:rsidR="001406EA" w:rsidRPr="00E552AD">
        <w:t xml:space="preserve"> </w:t>
      </w:r>
      <w:r w:rsidR="00DC5900" w:rsidRPr="00E552AD">
        <w:t xml:space="preserve">proper authorization </w:t>
      </w:r>
      <w:r w:rsidR="00DC09AB" w:rsidRPr="00E552AD">
        <w:t>for the evaluator to</w:t>
      </w:r>
      <w:r w:rsidR="00DC5900" w:rsidRPr="00E552AD">
        <w:t xml:space="preserve"> assess the</w:t>
      </w:r>
      <w:r w:rsidR="000C0C0A" w:rsidRPr="00E552AD">
        <w:t>ir</w:t>
      </w:r>
      <w:r w:rsidR="00DC5900" w:rsidRPr="00E552AD">
        <w:t xml:space="preserve"> credential</w:t>
      </w:r>
      <w:r w:rsidR="000C0C0A" w:rsidRPr="00E552AD">
        <w:t>s</w:t>
      </w:r>
      <w:r w:rsidR="00DC5900" w:rsidRPr="00E552AD">
        <w:t xml:space="preserve"> and release the results (</w:t>
      </w:r>
      <w:r w:rsidR="00523EAB">
        <w:t>GDN</w:t>
      </w:r>
      <w:r w:rsidR="00DC5900" w:rsidRPr="00E552AD">
        <w:t xml:space="preserve">, </w:t>
      </w:r>
      <w:r w:rsidR="0075455B">
        <w:t xml:space="preserve">2015, </w:t>
      </w:r>
      <w:r w:rsidR="00DC5900" w:rsidRPr="00E552AD">
        <w:t xml:space="preserve">p. 1). </w:t>
      </w:r>
      <w:proofErr w:type="gramStart"/>
      <w:r w:rsidR="00F7071D" w:rsidRPr="00E552AD">
        <w:t>As Herman</w:t>
      </w:r>
      <w:r w:rsidR="0072705B" w:rsidRPr="00E552AD">
        <w:t xml:space="preserve"> de </w:t>
      </w:r>
      <w:proofErr w:type="spellStart"/>
      <w:r w:rsidR="0072705B" w:rsidRPr="00E552AD">
        <w:t>Leeuw</w:t>
      </w:r>
      <w:proofErr w:type="spellEnd"/>
      <w:r w:rsidR="00650DAA">
        <w:t xml:space="preserve"> (2013)</w:t>
      </w:r>
      <w:r w:rsidR="0072705B" w:rsidRPr="00E552AD">
        <w:t xml:space="preserve"> </w:t>
      </w:r>
      <w:r w:rsidR="00F7071D" w:rsidRPr="00E552AD">
        <w:t>highlights</w:t>
      </w:r>
      <w:r w:rsidR="006C4735">
        <w:t>,</w:t>
      </w:r>
      <w:r w:rsidR="0072705B" w:rsidRPr="00E552AD">
        <w:t xml:space="preserve"> in his article for Transcending the Maze</w:t>
      </w:r>
      <w:r w:rsidR="000C0C0A" w:rsidRPr="00E552AD">
        <w:t>,</w:t>
      </w:r>
      <w:r w:rsidR="0072705B" w:rsidRPr="00E552AD">
        <w:t xml:space="preserve"> “citizens should be at the helm of their data; only they may authorize third-party access to their data” (p. 17).</w:t>
      </w:r>
      <w:proofErr w:type="gramEnd"/>
      <w:r w:rsidR="0072705B" w:rsidRPr="00E552AD">
        <w:t xml:space="preserve"> Institutions </w:t>
      </w:r>
      <w:r w:rsidR="001E3FED" w:rsidRPr="00E552AD">
        <w:t xml:space="preserve">that are required to release </w:t>
      </w:r>
      <w:r w:rsidR="0072705B" w:rsidRPr="00E552AD">
        <w:t xml:space="preserve">data to a third party will need to have privacy regulations in place that meet national privacy regulations. </w:t>
      </w:r>
      <w:r w:rsidR="00AD7498" w:rsidRPr="00E552AD">
        <w:t>The Declaration’s Statement of Ethical Principles previously commits signatories to keeping the collection, use, transfer, disclosure and storage of student data in compliance with privacy and data protection laws and regulations. This standard strives to strengthen this existing commitment by ident</w:t>
      </w:r>
      <w:r w:rsidR="00872762" w:rsidRPr="00E552AD">
        <w:t>ifying the need of informed cons</w:t>
      </w:r>
      <w:r w:rsidR="00AD7498" w:rsidRPr="00E552AD">
        <w:t>ent from an evaluator</w:t>
      </w:r>
      <w:r w:rsidR="001E3FED" w:rsidRPr="00E552AD">
        <w:t>’</w:t>
      </w:r>
      <w:r w:rsidR="00AD7498" w:rsidRPr="00E552AD">
        <w:t>s perspective.</w:t>
      </w:r>
      <w:r w:rsidR="00AD7498">
        <w:t xml:space="preserve">   </w:t>
      </w:r>
    </w:p>
    <w:p w14:paraId="3DF53686" w14:textId="3B080C71" w:rsidR="006A0E48" w:rsidRPr="00CD1D67" w:rsidRDefault="004743A5" w:rsidP="006C4BEE">
      <w:r w:rsidRPr="000C28F5">
        <w:rPr>
          <w:b/>
          <w:i/>
        </w:rPr>
        <w:t>Purpose Specification</w:t>
      </w:r>
      <w:r w:rsidR="00CD1D67" w:rsidRPr="000C28F5">
        <w:rPr>
          <w:b/>
        </w:rPr>
        <w:t xml:space="preserve"> – </w:t>
      </w:r>
      <w:r w:rsidR="00F5542B" w:rsidRPr="000C28F5">
        <w:rPr>
          <w:b/>
        </w:rPr>
        <w:t>The</w:t>
      </w:r>
      <w:r w:rsidR="00F5542B" w:rsidRPr="00F5542B">
        <w:rPr>
          <w:b/>
        </w:rPr>
        <w:t xml:space="preserve"> digital student record must include information that allows </w:t>
      </w:r>
      <w:r w:rsidR="00CD1D67" w:rsidRPr="00F5542B">
        <w:rPr>
          <w:b/>
        </w:rPr>
        <w:t>the evaluator reading the credential</w:t>
      </w:r>
      <w:r w:rsidR="00F5542B" w:rsidRPr="00F5542B">
        <w:rPr>
          <w:b/>
        </w:rPr>
        <w:t xml:space="preserve"> to understand</w:t>
      </w:r>
      <w:r w:rsidR="00CD1D67" w:rsidRPr="00F5542B">
        <w:rPr>
          <w:b/>
        </w:rPr>
        <w:t xml:space="preserve"> why the student is submitting their academic records to them for assessment.</w:t>
      </w:r>
    </w:p>
    <w:p w14:paraId="03398794" w14:textId="6FFE39CF" w:rsidR="00E33BA5" w:rsidRDefault="00C76044" w:rsidP="00CD7C33">
      <w:r>
        <w:t>For credential evaluators to assess a</w:t>
      </w:r>
      <w:r w:rsidR="00073F2D">
        <w:t>n academic</w:t>
      </w:r>
      <w:r>
        <w:t xml:space="preserve"> credential, in many cases, it is necessary to know the context </w:t>
      </w:r>
      <w:r w:rsidR="00CE7732">
        <w:t xml:space="preserve">in </w:t>
      </w:r>
      <w:r>
        <w:t>which they are reading the credential.</w:t>
      </w:r>
      <w:r w:rsidR="00155870">
        <w:t xml:space="preserve"> Evaluators need to know if a credential is being assessed</w:t>
      </w:r>
      <w:r>
        <w:t xml:space="preserve"> for i</w:t>
      </w:r>
      <w:r w:rsidR="00BF3A94" w:rsidRPr="00BF3A94">
        <w:t xml:space="preserve">mmigration, continued education, </w:t>
      </w:r>
      <w:r>
        <w:t xml:space="preserve">or </w:t>
      </w:r>
      <w:r w:rsidR="00BF3A94" w:rsidRPr="00BF3A94">
        <w:t>employment</w:t>
      </w:r>
      <w:r w:rsidR="00155870">
        <w:t xml:space="preserve"> purposes. For example,</w:t>
      </w:r>
      <w:r w:rsidR="00A14E8E">
        <w:t xml:space="preserve"> the academic</w:t>
      </w:r>
      <w:r w:rsidR="00155870">
        <w:t xml:space="preserve"> data required and the outcome of a credential assessment</w:t>
      </w:r>
      <w:r w:rsidR="00CE7732">
        <w:t xml:space="preserve"> may vary widely</w:t>
      </w:r>
      <w:r w:rsidR="00155870">
        <w:t xml:space="preserve"> for an individual applying </w:t>
      </w:r>
      <w:r w:rsidR="00073F2D">
        <w:t xml:space="preserve">to </w:t>
      </w:r>
      <w:r w:rsidR="00A14E8E">
        <w:lastRenderedPageBreak/>
        <w:t>transfer into a new program</w:t>
      </w:r>
      <w:r w:rsidR="00073F2D">
        <w:t xml:space="preserve"> at a foreign institution</w:t>
      </w:r>
      <w:r w:rsidR="00155870">
        <w:t xml:space="preserve"> </w:t>
      </w:r>
      <w:r w:rsidR="00CE7732">
        <w:t>versus</w:t>
      </w:r>
      <w:r w:rsidR="00155870">
        <w:t xml:space="preserve"> an individual applying to work in a regulated profession. </w:t>
      </w:r>
      <w:r w:rsidR="00E7380F">
        <w:t xml:space="preserve">As identified in the </w:t>
      </w:r>
      <w:r w:rsidR="00CD7C33">
        <w:t>Declaration’s Statement of Ethical Principles</w:t>
      </w:r>
      <w:r w:rsidR="00D76480">
        <w:t>,</w:t>
      </w:r>
      <w:r w:rsidR="00CD7C33">
        <w:t xml:space="preserve"> </w:t>
      </w:r>
      <w:r w:rsidR="00E33BA5">
        <w:t>“</w:t>
      </w:r>
      <w:r w:rsidR="00D76480">
        <w:t>p</w:t>
      </w:r>
      <w:r w:rsidR="00E33BA5">
        <w:t>ersonal student data should be relevant to the purposes for which they are to be used” (p. 2)</w:t>
      </w:r>
      <w:r w:rsidR="00CD7C33">
        <w:t>.</w:t>
      </w:r>
      <w:r w:rsidR="009E38EC">
        <w:t xml:space="preserve"> </w:t>
      </w:r>
      <w:proofErr w:type="gramStart"/>
      <w:r w:rsidR="00403B85">
        <w:t>T</w:t>
      </w:r>
      <w:r w:rsidR="009E38EC">
        <w:t xml:space="preserve">he Statement of Ethical Principles sets out more detailed </w:t>
      </w:r>
      <w:r w:rsidR="00403B85">
        <w:t>guidelines</w:t>
      </w:r>
      <w:r w:rsidR="009E38EC">
        <w:t xml:space="preserve"> for </w:t>
      </w:r>
      <w:r w:rsidR="00403B85">
        <w:t xml:space="preserve">the purpose of transferring student data, further supporting the need for standards that </w:t>
      </w:r>
      <w:r w:rsidR="00A154CF">
        <w:t>acknowledge</w:t>
      </w:r>
      <w:r w:rsidR="00403B85">
        <w:t xml:space="preserve"> the</w:t>
      </w:r>
      <w:r w:rsidR="00A154CF">
        <w:t xml:space="preserve"> importance</w:t>
      </w:r>
      <w:r w:rsidR="00403B85">
        <w:t xml:space="preserve"> </w:t>
      </w:r>
      <w:r w:rsidR="00A154CF">
        <w:t xml:space="preserve">of identifying a </w:t>
      </w:r>
      <w:r w:rsidR="00403B85">
        <w:t>purpose of exchange of an individual’s academic records.</w:t>
      </w:r>
      <w:proofErr w:type="gramEnd"/>
      <w:r w:rsidR="00403B85">
        <w:t xml:space="preserve"> </w:t>
      </w:r>
    </w:p>
    <w:p w14:paraId="5CD5C584" w14:textId="225EF2C8" w:rsidR="000B014D" w:rsidRDefault="00F57BCE" w:rsidP="002D3680">
      <w:pPr>
        <w:rPr>
          <w:b/>
        </w:rPr>
      </w:pPr>
      <w:r w:rsidRPr="00631274">
        <w:rPr>
          <w:b/>
          <w:i/>
        </w:rPr>
        <w:t>Adequate Information</w:t>
      </w:r>
      <w:r w:rsidR="00EE68C1">
        <w:rPr>
          <w:b/>
          <w:i/>
        </w:rPr>
        <w:t xml:space="preserve"> </w:t>
      </w:r>
      <w:r w:rsidR="00792D42" w:rsidRPr="00631274">
        <w:rPr>
          <w:b/>
        </w:rPr>
        <w:t>–</w:t>
      </w:r>
      <w:r w:rsidR="00792D42" w:rsidRPr="002D3680">
        <w:rPr>
          <w:b/>
        </w:rPr>
        <w:t xml:space="preserve"> </w:t>
      </w:r>
      <w:r w:rsidR="000B014D">
        <w:rPr>
          <w:b/>
        </w:rPr>
        <w:t xml:space="preserve">The digital student record must contain sufficient academic and demographic information </w:t>
      </w:r>
      <w:r w:rsidR="000A0B3A">
        <w:rPr>
          <w:b/>
        </w:rPr>
        <w:t xml:space="preserve">in order </w:t>
      </w:r>
      <w:r w:rsidR="000B014D">
        <w:rPr>
          <w:b/>
        </w:rPr>
        <w:t>for a credential evaluator to complete an assessment for equivalency, recognition</w:t>
      </w:r>
      <w:r w:rsidR="003A3910">
        <w:rPr>
          <w:b/>
        </w:rPr>
        <w:t xml:space="preserve"> and placement</w:t>
      </w:r>
      <w:r w:rsidR="000B014D">
        <w:rPr>
          <w:b/>
        </w:rPr>
        <w:t>.</w:t>
      </w:r>
    </w:p>
    <w:p w14:paraId="10074BD2" w14:textId="4DC73B38" w:rsidR="000325E0" w:rsidRDefault="00834CE5" w:rsidP="00CD2168">
      <w:r>
        <w:t xml:space="preserve">Without sufficient information, a credential evaluator may not be able to accurately </w:t>
      </w:r>
      <w:r w:rsidR="004C2032">
        <w:t>complete</w:t>
      </w:r>
      <w:r>
        <w:t xml:space="preserve"> a fair assessment of the </w:t>
      </w:r>
      <w:r w:rsidR="00073F2D">
        <w:t>academic credential</w:t>
      </w:r>
      <w:r>
        <w:t xml:space="preserve"> they have received. The digital student record </w:t>
      </w:r>
      <w:r w:rsidR="001642D0">
        <w:t xml:space="preserve">must </w:t>
      </w:r>
      <w:r w:rsidRPr="00A62C73">
        <w:t>include enough information with regards to academic work for an assessor to be able to complete an evaluation and make a recommendation of equivalency, recognition and placement</w:t>
      </w:r>
      <w:r w:rsidR="00250352">
        <w:t xml:space="preserve"> (when applicable) for the</w:t>
      </w:r>
      <w:r w:rsidRPr="00A62C73">
        <w:t xml:space="preserve"> </w:t>
      </w:r>
      <w:r>
        <w:t xml:space="preserve">receiving </w:t>
      </w:r>
      <w:r w:rsidR="004C2032">
        <w:t>institution</w:t>
      </w:r>
      <w:r>
        <w:t xml:space="preserve">. </w:t>
      </w:r>
      <w:r w:rsidR="00073F2D">
        <w:t xml:space="preserve">Erroneous </w:t>
      </w:r>
      <w:r>
        <w:t xml:space="preserve">or omitted information can impact the results of an assessment. For example, if grading schemes are not included with a transcript of grades, grade conversions may be inaccurate or may not be able to be </w:t>
      </w:r>
      <w:r w:rsidR="004C2032">
        <w:t>completed</w:t>
      </w:r>
      <w:r>
        <w:t xml:space="preserve">. Therefore, as a minimum requirement, it would be advisable </w:t>
      </w:r>
      <w:r w:rsidR="004C2032">
        <w:t xml:space="preserve">that information for understanding the record itself be included with the student data. </w:t>
      </w:r>
      <w:r w:rsidR="008B22BA">
        <w:t xml:space="preserve">In other cases, </w:t>
      </w:r>
      <w:r w:rsidR="002B77E2">
        <w:t>contingent up</w:t>
      </w:r>
      <w:r w:rsidR="008B22BA">
        <w:t>on the required service</w:t>
      </w:r>
      <w:r w:rsidR="002B77E2">
        <w:t xml:space="preserve"> and the purpose of the assessment, additional information such as </w:t>
      </w:r>
      <w:r w:rsidR="00A0356E">
        <w:t>details</w:t>
      </w:r>
      <w:r w:rsidR="002B77E2">
        <w:t xml:space="preserve"> about the course exemptions or transfer credits would also be necessary. </w:t>
      </w:r>
      <w:r w:rsidR="008B22BA">
        <w:t xml:space="preserve"> </w:t>
      </w:r>
      <w:r w:rsidR="004C2032">
        <w:t xml:space="preserve">Basic </w:t>
      </w:r>
      <w:r w:rsidR="00FE76FF">
        <w:t xml:space="preserve">identifying </w:t>
      </w:r>
      <w:r w:rsidR="004C2032">
        <w:t xml:space="preserve">information is </w:t>
      </w:r>
      <w:r w:rsidR="00035BF3">
        <w:t>essential</w:t>
      </w:r>
      <w:r w:rsidR="004C2032">
        <w:t xml:space="preserve"> as well. </w:t>
      </w:r>
      <w:r w:rsidR="000325E0">
        <w:t>According to AACRAO’s committee on the Standardization of Postsecondary Education Electronic Data Exchange (SPEEDE)</w:t>
      </w:r>
      <w:r w:rsidR="00F57BCE">
        <w:t>,</w:t>
      </w:r>
      <w:r w:rsidR="000325E0">
        <w:t xml:space="preserve"> “</w:t>
      </w:r>
      <w:r w:rsidR="00F57BCE">
        <w:t>a</w:t>
      </w:r>
      <w:r w:rsidR="000325E0" w:rsidRPr="000325E0">
        <w:t xml:space="preserve"> complete College Transcript should include sufficient information about the student so the recipient of the transcript can, with a high degree of </w:t>
      </w:r>
      <w:proofErr w:type="gramStart"/>
      <w:r w:rsidR="000325E0" w:rsidRPr="000325E0">
        <w:t>certainty,</w:t>
      </w:r>
      <w:proofErr w:type="gramEnd"/>
      <w:r w:rsidR="000325E0" w:rsidRPr="000325E0">
        <w:t xml:space="preserve"> insure that the transcript is matched with the correct student in the receiver’s data base.</w:t>
      </w:r>
      <w:r w:rsidR="000325E0">
        <w:t xml:space="preserve">” </w:t>
      </w:r>
      <w:proofErr w:type="gramStart"/>
      <w:r w:rsidR="000325E0">
        <w:t>(AACRAO</w:t>
      </w:r>
      <w:r w:rsidR="00FD119D">
        <w:t xml:space="preserve"> SPEEDE Committee, 2007</w:t>
      </w:r>
      <w:r w:rsidR="000325E0">
        <w:t>, p. 1).</w:t>
      </w:r>
      <w:proofErr w:type="gramEnd"/>
      <w:r w:rsidR="004C2032">
        <w:t xml:space="preserve"> This </w:t>
      </w:r>
      <w:r w:rsidR="0031714C">
        <w:t xml:space="preserve">standard </w:t>
      </w:r>
      <w:r w:rsidR="004C2032">
        <w:t xml:space="preserve">would be applicable to </w:t>
      </w:r>
      <w:r w:rsidR="00F21D46">
        <w:t xml:space="preserve">all </w:t>
      </w:r>
      <w:r w:rsidR="004C2032">
        <w:t>digital student records</w:t>
      </w:r>
      <w:r w:rsidR="00F57BCE">
        <w:t xml:space="preserve"> and ensure that an accurate and thorough assessment of the student’s credentials can be completed</w:t>
      </w:r>
      <w:r w:rsidR="00FE76FF">
        <w:t>.</w:t>
      </w:r>
    </w:p>
    <w:p w14:paraId="072DB1F0" w14:textId="541CF046" w:rsidR="007A1E80" w:rsidRPr="00E552AD" w:rsidRDefault="002A62BB" w:rsidP="006C4BEE">
      <w:pPr>
        <w:rPr>
          <w:b/>
        </w:rPr>
      </w:pPr>
      <w:r w:rsidRPr="002F2802">
        <w:rPr>
          <w:b/>
          <w:i/>
        </w:rPr>
        <w:t xml:space="preserve">Institution-specific </w:t>
      </w:r>
      <w:r w:rsidR="008E686F" w:rsidRPr="002F2802">
        <w:rPr>
          <w:b/>
          <w:i/>
        </w:rPr>
        <w:t>formatted documents</w:t>
      </w:r>
      <w:r w:rsidR="00215927" w:rsidRPr="00C0081F">
        <w:rPr>
          <w:b/>
        </w:rPr>
        <w:t>–</w:t>
      </w:r>
      <w:r w:rsidR="00215927">
        <w:rPr>
          <w:b/>
        </w:rPr>
        <w:t xml:space="preserve"> </w:t>
      </w:r>
      <w:r w:rsidR="00D942C1">
        <w:rPr>
          <w:b/>
        </w:rPr>
        <w:t xml:space="preserve">The issuing institution </w:t>
      </w:r>
      <w:r w:rsidR="00D942C1" w:rsidRPr="00911456">
        <w:rPr>
          <w:b/>
        </w:rPr>
        <w:t xml:space="preserve">must </w:t>
      </w:r>
      <w:r w:rsidR="00D942C1" w:rsidRPr="00FA4907">
        <w:rPr>
          <w:b/>
        </w:rPr>
        <w:t>produce</w:t>
      </w:r>
      <w:r w:rsidR="00D942C1" w:rsidRPr="00911456">
        <w:rPr>
          <w:b/>
        </w:rPr>
        <w:t xml:space="preserve"> student</w:t>
      </w:r>
      <w:r w:rsidR="00D942C1">
        <w:rPr>
          <w:b/>
        </w:rPr>
        <w:t xml:space="preserve"> credentials and academic records in a consistent manner within </w:t>
      </w:r>
      <w:r w:rsidR="00D942C1" w:rsidRPr="00E552AD">
        <w:rPr>
          <w:b/>
        </w:rPr>
        <w:t>their own institution to allow for comparability of credentials from previously assessed students.</w:t>
      </w:r>
    </w:p>
    <w:p w14:paraId="7F0FE7DA" w14:textId="600FCFC5" w:rsidR="00792D42" w:rsidRDefault="00D65E94" w:rsidP="00D65E94">
      <w:r w:rsidRPr="00326873">
        <w:t xml:space="preserve">Being able to use previously received and verified documents is a </w:t>
      </w:r>
      <w:r w:rsidR="00B21E79" w:rsidRPr="00326873">
        <w:t xml:space="preserve">leading </w:t>
      </w:r>
      <w:r w:rsidRPr="00326873">
        <w:t xml:space="preserve">tool in assessing foreign credentials. Multiple versions of student </w:t>
      </w:r>
      <w:r w:rsidR="00FA4907" w:rsidRPr="00326873">
        <w:t xml:space="preserve">credentials </w:t>
      </w:r>
      <w:r w:rsidRPr="00326873">
        <w:t xml:space="preserve">can cause difficulties and delays in </w:t>
      </w:r>
      <w:r w:rsidR="00FA4907" w:rsidRPr="00326873">
        <w:t xml:space="preserve">producing an </w:t>
      </w:r>
      <w:r w:rsidRPr="00326873">
        <w:t xml:space="preserve">assessment. </w:t>
      </w:r>
      <w:r w:rsidR="00356672" w:rsidRPr="00326873">
        <w:t>Having</w:t>
      </w:r>
      <w:r w:rsidRPr="00326873">
        <w:t xml:space="preserve"> institutions commit to a</w:t>
      </w:r>
      <w:r w:rsidR="00356672" w:rsidRPr="00326873">
        <w:t>n</w:t>
      </w:r>
      <w:r w:rsidRPr="00326873">
        <w:t xml:space="preserve"> </w:t>
      </w:r>
      <w:r w:rsidR="00356672" w:rsidRPr="00326873">
        <w:t xml:space="preserve">institution-specific </w:t>
      </w:r>
      <w:r w:rsidRPr="00326873">
        <w:t xml:space="preserve">standardized format </w:t>
      </w:r>
      <w:r w:rsidR="00632056" w:rsidRPr="00326873">
        <w:t>will reduce variation</w:t>
      </w:r>
      <w:r w:rsidR="00FA4907" w:rsidRPr="00326873">
        <w:t>s</w:t>
      </w:r>
      <w:r w:rsidR="00632056" w:rsidRPr="00326873">
        <w:t xml:space="preserve"> in content</w:t>
      </w:r>
      <w:r w:rsidR="00356672" w:rsidRPr="00326873">
        <w:t>, which further supports data quality.</w:t>
      </w:r>
      <w:r w:rsidR="00632056" w:rsidRPr="00326873">
        <w:t xml:space="preserve"> </w:t>
      </w:r>
      <w:r w:rsidR="00FA4907" w:rsidRPr="00326873">
        <w:t xml:space="preserve">Institutions </w:t>
      </w:r>
      <w:r w:rsidR="00523EAB">
        <w:t>committing to</w:t>
      </w:r>
      <w:r w:rsidR="00523EAB" w:rsidRPr="00326873">
        <w:t xml:space="preserve"> </w:t>
      </w:r>
      <w:r w:rsidR="00FA4907" w:rsidRPr="00326873">
        <w:t xml:space="preserve">standardized formats for their credentials is also valuable in </w:t>
      </w:r>
      <w:r w:rsidR="00560436" w:rsidRPr="00326873">
        <w:t xml:space="preserve">assisting </w:t>
      </w:r>
      <w:r w:rsidR="00FA4907" w:rsidRPr="00326873">
        <w:t xml:space="preserve">credential evaluators with learning, recognizing and understanding the different formats from </w:t>
      </w:r>
      <w:r w:rsidR="00356672" w:rsidRPr="00326873">
        <w:t>various</w:t>
      </w:r>
      <w:r w:rsidR="00FA4907" w:rsidRPr="00326873">
        <w:t xml:space="preserve"> institution</w:t>
      </w:r>
      <w:r w:rsidR="00356672" w:rsidRPr="00326873">
        <w:t>s</w:t>
      </w:r>
      <w:r w:rsidR="00FA4907" w:rsidRPr="00326873">
        <w:t xml:space="preserve">, which will aid in verifying and authenticating the credential.  </w:t>
      </w:r>
      <w:r w:rsidR="004D7316" w:rsidRPr="00326873">
        <w:t xml:space="preserve">This standard is designed to support </w:t>
      </w:r>
      <w:r w:rsidR="00632056" w:rsidRPr="00326873">
        <w:t>the Declaration’s commitment to</w:t>
      </w:r>
      <w:r w:rsidR="00792D42" w:rsidRPr="00326873">
        <w:t xml:space="preserve"> convergence </w:t>
      </w:r>
      <w:r w:rsidR="00632056" w:rsidRPr="00326873">
        <w:t xml:space="preserve">as opposed to </w:t>
      </w:r>
      <w:r w:rsidR="00792D42" w:rsidRPr="00326873">
        <w:t>standardization (</w:t>
      </w:r>
      <w:r w:rsidR="007F13D7">
        <w:t>GD</w:t>
      </w:r>
      <w:r w:rsidR="00523EAB">
        <w:t>N</w:t>
      </w:r>
      <w:r w:rsidR="0075455B">
        <w:t>, 2015,</w:t>
      </w:r>
      <w:r w:rsidR="007F13D7">
        <w:t xml:space="preserve"> </w:t>
      </w:r>
      <w:r w:rsidR="00792D42" w:rsidRPr="00326873">
        <w:t>p.</w:t>
      </w:r>
      <w:r w:rsidR="007F13D7">
        <w:t xml:space="preserve"> 1</w:t>
      </w:r>
      <w:r w:rsidR="00632056" w:rsidRPr="00326873">
        <w:t xml:space="preserve">), </w:t>
      </w:r>
      <w:r w:rsidR="004D7316" w:rsidRPr="00326873">
        <w:t xml:space="preserve">which is why </w:t>
      </w:r>
      <w:r w:rsidR="00632056" w:rsidRPr="00326873">
        <w:t>it is not recommended to develop one standardized record format for all institutions.</w:t>
      </w:r>
      <w:r w:rsidR="00560436" w:rsidRPr="00326873">
        <w:t xml:space="preserve"> I</w:t>
      </w:r>
      <w:r w:rsidR="004D7316" w:rsidRPr="00326873">
        <w:t xml:space="preserve">n </w:t>
      </w:r>
      <w:r w:rsidR="001E0BAD" w:rsidRPr="00326873">
        <w:t>recommending institution-specific standardized formatting</w:t>
      </w:r>
      <w:r w:rsidR="004D7316" w:rsidRPr="00326873">
        <w:t>, the standard understands and r</w:t>
      </w:r>
      <w:r w:rsidR="00080C6C" w:rsidRPr="00326873">
        <w:t xml:space="preserve">espects an </w:t>
      </w:r>
      <w:r w:rsidR="004D7316" w:rsidRPr="00326873">
        <w:t>institution</w:t>
      </w:r>
      <w:r w:rsidR="00560436" w:rsidRPr="00326873">
        <w:t>’</w:t>
      </w:r>
      <w:r w:rsidR="004D7316" w:rsidRPr="00326873">
        <w:t>s</w:t>
      </w:r>
      <w:r w:rsidR="00080C6C" w:rsidRPr="00326873">
        <w:t xml:space="preserve"> autonomy over the management of their education</w:t>
      </w:r>
      <w:r w:rsidR="004D7316" w:rsidRPr="00326873">
        <w:t>al</w:t>
      </w:r>
      <w:r w:rsidR="00080C6C" w:rsidRPr="00326873">
        <w:t xml:space="preserve"> documents and data</w:t>
      </w:r>
      <w:r w:rsidR="004D7316" w:rsidRPr="00326873">
        <w:t>.</w:t>
      </w:r>
    </w:p>
    <w:p w14:paraId="4C6EB4AE" w14:textId="1BDD3C49" w:rsidR="00D55E37" w:rsidRDefault="00D55E37" w:rsidP="00D65E94"/>
    <w:p w14:paraId="115E86A0" w14:textId="71954054" w:rsidR="00D55E37" w:rsidRPr="00D56C33" w:rsidRDefault="00E15DD9" w:rsidP="00D65E94">
      <w:pPr>
        <w:rPr>
          <w:b/>
        </w:rPr>
      </w:pPr>
      <w:r w:rsidRPr="00D56C33">
        <w:rPr>
          <w:b/>
          <w:i/>
        </w:rPr>
        <w:lastRenderedPageBreak/>
        <w:t>Original Language Record</w:t>
      </w:r>
      <w:r w:rsidR="00BD37EA" w:rsidRPr="00D56C33">
        <w:rPr>
          <w:b/>
        </w:rPr>
        <w:t xml:space="preserve"> - </w:t>
      </w:r>
      <w:r w:rsidR="00535460" w:rsidRPr="00D56C33">
        <w:rPr>
          <w:b/>
        </w:rPr>
        <w:t>The digital student record must</w:t>
      </w:r>
      <w:r w:rsidR="00560436" w:rsidRPr="00D56C33">
        <w:rPr>
          <w:b/>
        </w:rPr>
        <w:t xml:space="preserve"> </w:t>
      </w:r>
      <w:r w:rsidR="00535460" w:rsidRPr="00D56C33">
        <w:rPr>
          <w:b/>
        </w:rPr>
        <w:t xml:space="preserve">be submitted to the receiving </w:t>
      </w:r>
      <w:r w:rsidR="009937D4" w:rsidRPr="00D56C33">
        <w:rPr>
          <w:b/>
        </w:rPr>
        <w:t>institution</w:t>
      </w:r>
      <w:r w:rsidR="00535460" w:rsidRPr="00D56C33">
        <w:rPr>
          <w:b/>
        </w:rPr>
        <w:t xml:space="preserve"> in the original language. </w:t>
      </w:r>
    </w:p>
    <w:p w14:paraId="242C8EFE" w14:textId="72937488" w:rsidR="00535460" w:rsidRDefault="00535460" w:rsidP="009937D4">
      <w:pPr>
        <w:spacing w:after="0"/>
      </w:pPr>
      <w:r w:rsidRPr="00D56C33">
        <w:t>A best practice in evaluating international credentials is to include the original language document in the assessment and to not rely solely on the translation of the information</w:t>
      </w:r>
      <w:r w:rsidR="00BD37EA" w:rsidRPr="00D56C33">
        <w:t xml:space="preserve"> (World Education Services</w:t>
      </w:r>
      <w:r w:rsidR="00BB2E9F">
        <w:t>,</w:t>
      </w:r>
      <w:r w:rsidR="00BD37EA" w:rsidRPr="00D56C33">
        <w:t xml:space="preserve"> 2012</w:t>
      </w:r>
      <w:r w:rsidR="00BB2E9F">
        <w:t>).</w:t>
      </w:r>
      <w:r w:rsidR="00BD37EA" w:rsidRPr="00D56C33">
        <w:t xml:space="preserve"> </w:t>
      </w:r>
      <w:r w:rsidRPr="00D56C33">
        <w:t xml:space="preserve">Translations can be inaccurate or, in some cases, omit details. </w:t>
      </w:r>
      <w:r w:rsidR="00BD37EA" w:rsidRPr="00D56C33">
        <w:t>In order to best understand and evaluate a credential</w:t>
      </w:r>
      <w:r w:rsidR="00560436" w:rsidRPr="00D56C33">
        <w:t>,</w:t>
      </w:r>
      <w:r w:rsidR="00BD37EA" w:rsidRPr="00D56C33">
        <w:t xml:space="preserve"> an evaluator will use the original language document to verify and authenticate the student’s academic data. In</w:t>
      </w:r>
      <w:r w:rsidR="009937D4" w:rsidRPr="00D56C33">
        <w:t xml:space="preserve"> her paper </w:t>
      </w:r>
      <w:hyperlink r:id="rId9" w:history="1">
        <w:r w:rsidR="009937D4" w:rsidRPr="00965A66">
          <w:rPr>
            <w:rStyle w:val="Hyperlink"/>
            <w:i/>
            <w:color w:val="auto"/>
            <w:u w:val="none"/>
          </w:rPr>
          <w:t>The Forensics of Academic Credential</w:t>
        </w:r>
        <w:r w:rsidR="00BD37EA" w:rsidRPr="00965A66">
          <w:rPr>
            <w:rStyle w:val="Hyperlink"/>
            <w:i/>
            <w:color w:val="auto"/>
            <w:u w:val="none"/>
          </w:rPr>
          <w:t xml:space="preserve"> </w:t>
        </w:r>
        <w:r w:rsidR="009937D4" w:rsidRPr="00965A66">
          <w:rPr>
            <w:rStyle w:val="Hyperlink"/>
            <w:i/>
            <w:color w:val="auto"/>
            <w:u w:val="none"/>
          </w:rPr>
          <w:t>Fraud Analysis and Detection</w:t>
        </w:r>
      </w:hyperlink>
      <w:r w:rsidR="00FE76FF" w:rsidRPr="00965A66">
        <w:t>,</w:t>
      </w:r>
      <w:r w:rsidR="009937D4" w:rsidRPr="00965A66">
        <w:t xml:space="preserve"> Eva-Angela </w:t>
      </w:r>
      <w:proofErr w:type="spellStart"/>
      <w:r w:rsidR="009937D4" w:rsidRPr="00965A66">
        <w:t>Adán</w:t>
      </w:r>
      <w:proofErr w:type="spellEnd"/>
      <w:r w:rsidR="009937D4" w:rsidRPr="00965A66">
        <w:t xml:space="preserve"> states “never us</w:t>
      </w:r>
      <w:r w:rsidR="009937D4" w:rsidRPr="00D56C33">
        <w:t xml:space="preserve">e English translations in lieu of original language documents to evaluate and make admissions determinations. Translations should be used as a ‘road map’ to identify and confirm critical information. </w:t>
      </w:r>
      <w:proofErr w:type="gramStart"/>
      <w:r w:rsidR="009937D4" w:rsidRPr="00D56C33">
        <w:t>Remember, for every translation there is an original”</w:t>
      </w:r>
      <w:r w:rsidR="00695772">
        <w:t xml:space="preserve"> (2002).</w:t>
      </w:r>
      <w:proofErr w:type="gramEnd"/>
      <w:r w:rsidR="009937D4" w:rsidRPr="00D56C33">
        <w:t xml:space="preserve"> </w:t>
      </w:r>
      <w:r w:rsidR="00BD37EA" w:rsidRPr="00D56C33">
        <w:t>For a credential evaluator</w:t>
      </w:r>
      <w:r w:rsidR="00560436" w:rsidRPr="00D56C33">
        <w:t>,</w:t>
      </w:r>
      <w:r w:rsidR="00BD37EA" w:rsidRPr="00D56C33">
        <w:t xml:space="preserve"> receiving the student’s digital record in the </w:t>
      </w:r>
      <w:r w:rsidR="004B3B5A" w:rsidRPr="00D56C33">
        <w:t xml:space="preserve">original </w:t>
      </w:r>
      <w:r w:rsidR="00560436" w:rsidRPr="00D56C33">
        <w:t>language</w:t>
      </w:r>
      <w:r w:rsidR="00494AED" w:rsidRPr="00D56C33">
        <w:t>, in addition to any translations,</w:t>
      </w:r>
      <w:r w:rsidR="004B3B5A" w:rsidRPr="00D56C33">
        <w:t xml:space="preserve"> is a necessity</w:t>
      </w:r>
      <w:r w:rsidR="00560436" w:rsidRPr="00D56C33">
        <w:t xml:space="preserve"> to prevent fraud and to complete an accurate and fair credential assessment.</w:t>
      </w:r>
    </w:p>
    <w:p w14:paraId="5185E71F" w14:textId="321E39A0" w:rsidR="00027195" w:rsidRDefault="00027195" w:rsidP="009937D4">
      <w:pPr>
        <w:spacing w:after="0"/>
      </w:pPr>
    </w:p>
    <w:p w14:paraId="4C9580DF" w14:textId="77777777" w:rsidR="005B4EC8" w:rsidRDefault="005B4EC8" w:rsidP="009937D4">
      <w:pPr>
        <w:spacing w:after="0"/>
      </w:pPr>
    </w:p>
    <w:p w14:paraId="19033C80" w14:textId="77777777" w:rsidR="000177B9" w:rsidRPr="0009741E" w:rsidRDefault="000177B9" w:rsidP="00D65E94">
      <w:pPr>
        <w:rPr>
          <w:b/>
        </w:rPr>
      </w:pPr>
      <w:r w:rsidRPr="0009741E">
        <w:rPr>
          <w:b/>
        </w:rPr>
        <w:t>CONCLUSION</w:t>
      </w:r>
    </w:p>
    <w:p w14:paraId="7030F048" w14:textId="66B165AF" w:rsidR="0009741E" w:rsidRDefault="0010334F" w:rsidP="006C4BEE">
      <w:r w:rsidRPr="00D56C33">
        <w:t>One of the overriding themes of the Groningen Declaration is to promote convergence over standardization. However, for a Digital Student Data Ecosystem to succeed</w:t>
      </w:r>
      <w:r w:rsidR="001E5C07" w:rsidRPr="00D56C33">
        <w:t>,</w:t>
      </w:r>
      <w:r w:rsidRPr="00D56C33">
        <w:t xml:space="preserve"> institutions will need guiding principles to ensure that the ecosystem meets the </w:t>
      </w:r>
      <w:r w:rsidR="005671B8" w:rsidRPr="00D56C33">
        <w:t>requirements</w:t>
      </w:r>
      <w:r w:rsidRPr="00D56C33">
        <w:t xml:space="preserve"> of the Declaration’s signatories and </w:t>
      </w:r>
      <w:r w:rsidR="002F2FCB" w:rsidRPr="00D56C33">
        <w:t>stakeholders</w:t>
      </w:r>
      <w:r w:rsidRPr="00D56C33">
        <w:t xml:space="preserve">. Credential evaluators will be a primary user of digital student records. </w:t>
      </w:r>
      <w:r w:rsidR="002F2FCB" w:rsidRPr="00D56C33">
        <w:t>The development of digital student data portability is</w:t>
      </w:r>
      <w:r w:rsidRPr="00D56C33">
        <w:t xml:space="preserve"> an opportunity for evaluators to</w:t>
      </w:r>
      <w:r w:rsidR="002F2FCB" w:rsidRPr="00D56C33">
        <w:t xml:space="preserve"> create new tools and improve upon existing </w:t>
      </w:r>
      <w:proofErr w:type="spellStart"/>
      <w:r w:rsidR="002F2FCB" w:rsidRPr="00D56C33">
        <w:t>credentialling</w:t>
      </w:r>
      <w:proofErr w:type="spellEnd"/>
      <w:r w:rsidRPr="00D56C33">
        <w:t xml:space="preserve"> tools to increase the pace and accuracy of their assessments. Having a digitally secure method of transferring student data will also assist evaluators in limiting the use of fraudulent documents. However, such changes in assessment practices can only be properly implemented and successful if there is some measure of guiding </w:t>
      </w:r>
      <w:r w:rsidR="002F2FCB" w:rsidRPr="00D56C33">
        <w:t>principles and standards</w:t>
      </w:r>
      <w:r w:rsidRPr="00D56C33">
        <w:t xml:space="preserve"> to ensure that trust</w:t>
      </w:r>
      <w:r w:rsidR="002F2FCB" w:rsidRPr="00D56C33">
        <w:t xml:space="preserve"> remains prevalent between institutions. The standards outlined in this paper address the needs of credential evaluators in completing assessments, while respecting the various contexts and landscapes that are present in a global initiative such </w:t>
      </w:r>
      <w:r w:rsidR="00F41AC2">
        <w:t xml:space="preserve">as </w:t>
      </w:r>
      <w:r w:rsidR="002F2FCB" w:rsidRPr="00D56C33">
        <w:t>the Groningen Declaration.</w:t>
      </w:r>
    </w:p>
    <w:p w14:paraId="338D21E2" w14:textId="7F3C7301" w:rsidR="0009741E" w:rsidRPr="0009741E" w:rsidRDefault="0009741E" w:rsidP="005B4EC8">
      <w:pPr>
        <w:rPr>
          <w:rFonts w:cs="Arial"/>
          <w:b/>
        </w:rPr>
      </w:pPr>
      <w:r>
        <w:br w:type="page"/>
      </w:r>
      <w:r w:rsidRPr="0009741E">
        <w:rPr>
          <w:rFonts w:cs="Arial"/>
          <w:b/>
        </w:rPr>
        <w:lastRenderedPageBreak/>
        <w:t>REFERENCES</w:t>
      </w:r>
    </w:p>
    <w:p w14:paraId="4859BC22" w14:textId="77777777" w:rsidR="0009741E" w:rsidRPr="0009741E" w:rsidRDefault="0009741E" w:rsidP="0009741E">
      <w:pPr>
        <w:spacing w:after="0"/>
        <w:ind w:left="1009" w:hanging="720"/>
      </w:pPr>
    </w:p>
    <w:p w14:paraId="359346CF" w14:textId="77777777" w:rsidR="0009741E" w:rsidRPr="0009741E" w:rsidRDefault="0009741E" w:rsidP="0009741E">
      <w:pPr>
        <w:spacing w:after="0"/>
        <w:ind w:left="1009" w:hanging="720"/>
      </w:pPr>
      <w:proofErr w:type="gramStart"/>
      <w:r w:rsidRPr="0009741E">
        <w:t>AACRAO SPEEDE Committee.</w:t>
      </w:r>
      <w:proofErr w:type="gramEnd"/>
      <w:r w:rsidRPr="0009741E">
        <w:t xml:space="preserve"> (2007). </w:t>
      </w:r>
      <w:r w:rsidRPr="0009741E">
        <w:rPr>
          <w:i/>
        </w:rPr>
        <w:t xml:space="preserve">Recommended Implementation Practices for PESC XML College Transcript. </w:t>
      </w:r>
      <w:r w:rsidRPr="0009741E">
        <w:t xml:space="preserve">Retrieved from </w:t>
      </w:r>
      <w:hyperlink r:id="rId10" w:history="1">
        <w:r w:rsidRPr="0009741E">
          <w:rPr>
            <w:color w:val="0563C1" w:themeColor="hyperlink"/>
            <w:u w:val="single"/>
          </w:rPr>
          <w:t>http://aacrao.org/about/committees</w:t>
        </w:r>
      </w:hyperlink>
      <w:r w:rsidRPr="0009741E">
        <w:t xml:space="preserve"> </w:t>
      </w:r>
    </w:p>
    <w:p w14:paraId="6E104099" w14:textId="77777777" w:rsidR="0009741E" w:rsidRPr="0009741E" w:rsidRDefault="0009741E" w:rsidP="0009741E">
      <w:pPr>
        <w:spacing w:after="0"/>
        <w:ind w:left="1009" w:hanging="720"/>
      </w:pPr>
    </w:p>
    <w:p w14:paraId="008B1FC7" w14:textId="77777777" w:rsidR="0009741E" w:rsidRPr="0009741E" w:rsidRDefault="0009741E" w:rsidP="0009741E">
      <w:pPr>
        <w:spacing w:after="0"/>
        <w:ind w:left="1009" w:hanging="720"/>
      </w:pPr>
      <w:proofErr w:type="spellStart"/>
      <w:r w:rsidRPr="0009741E">
        <w:t>Adán</w:t>
      </w:r>
      <w:proofErr w:type="spellEnd"/>
      <w:r w:rsidRPr="0009741E">
        <w:t xml:space="preserve">, E. (2002). </w:t>
      </w:r>
      <w:proofErr w:type="gramStart"/>
      <w:r w:rsidRPr="0009741E">
        <w:rPr>
          <w:i/>
        </w:rPr>
        <w:t>The Forensics of Academic Credential Fraud Analysis and Detection</w:t>
      </w:r>
      <w:r w:rsidRPr="0009741E">
        <w:t>.</w:t>
      </w:r>
      <w:proofErr w:type="gramEnd"/>
      <w:r w:rsidRPr="0009741E">
        <w:t xml:space="preserve"> Retrieved from </w:t>
      </w:r>
      <w:hyperlink r:id="rId11" w:history="1">
        <w:r w:rsidRPr="0009741E">
          <w:rPr>
            <w:color w:val="0563C1" w:themeColor="hyperlink"/>
            <w:u w:val="single"/>
          </w:rPr>
          <w:t>https://www.nafsa.org/uploadedFiles/NAFSA_Home/Resource_Library_Assets/ACE/forensics_of_academic.pdf?n=6546</w:t>
        </w:r>
      </w:hyperlink>
    </w:p>
    <w:p w14:paraId="744EC1DF" w14:textId="77777777" w:rsidR="0009741E" w:rsidRPr="0009741E" w:rsidRDefault="0009741E" w:rsidP="0009741E">
      <w:pPr>
        <w:spacing w:after="0"/>
        <w:ind w:left="1009" w:hanging="720"/>
      </w:pPr>
    </w:p>
    <w:p w14:paraId="0C708B24" w14:textId="77777777" w:rsidR="0009741E" w:rsidRPr="0009741E" w:rsidRDefault="0009741E" w:rsidP="0009741E">
      <w:pPr>
        <w:spacing w:after="0"/>
        <w:ind w:left="1009" w:hanging="720"/>
      </w:pPr>
      <w:proofErr w:type="gramStart"/>
      <w:r w:rsidRPr="0009741E">
        <w:t>de</w:t>
      </w:r>
      <w:proofErr w:type="gramEnd"/>
      <w:r w:rsidRPr="0009741E">
        <w:t xml:space="preserve"> </w:t>
      </w:r>
      <w:proofErr w:type="spellStart"/>
      <w:r w:rsidRPr="0009741E">
        <w:t>Leeuw</w:t>
      </w:r>
      <w:proofErr w:type="spellEnd"/>
      <w:r w:rsidRPr="0009741E">
        <w:t xml:space="preserve">, H. (2013). A maelstrom of abbreviations: On the emerging global digital student data portability landscape. </w:t>
      </w:r>
      <w:r w:rsidRPr="0009741E">
        <w:rPr>
          <w:i/>
        </w:rPr>
        <w:t>Transcending the Maze…Moving Forward with Global Credentials</w:t>
      </w:r>
      <w:r w:rsidRPr="0009741E">
        <w:t xml:space="preserve">, 1, 15-21. </w:t>
      </w:r>
    </w:p>
    <w:p w14:paraId="54969E26" w14:textId="77777777" w:rsidR="0009741E" w:rsidRPr="0009741E" w:rsidRDefault="0009741E" w:rsidP="0009741E">
      <w:pPr>
        <w:spacing w:after="0"/>
        <w:ind w:left="1009" w:hanging="720"/>
      </w:pPr>
    </w:p>
    <w:p w14:paraId="313DE8E1" w14:textId="77777777" w:rsidR="0009741E" w:rsidRPr="0009741E" w:rsidRDefault="0009741E" w:rsidP="0009741E">
      <w:pPr>
        <w:spacing w:after="0"/>
        <w:ind w:left="1009" w:hanging="720"/>
      </w:pPr>
      <w:r w:rsidRPr="0009741E">
        <w:t xml:space="preserve">European Commission, Council of Europe, UNESCO/CEPES. (2007) </w:t>
      </w:r>
      <w:r w:rsidRPr="0009741E">
        <w:rPr>
          <w:i/>
        </w:rPr>
        <w:t xml:space="preserve">Diploma supplement model. </w:t>
      </w:r>
      <w:proofErr w:type="gramStart"/>
      <w:r w:rsidRPr="0009741E">
        <w:t>Adopted by the Lisbon Recognition Convention Committee.</w:t>
      </w:r>
      <w:proofErr w:type="gramEnd"/>
      <w:r w:rsidRPr="0009741E">
        <w:t xml:space="preserve"> Retrieved from </w:t>
      </w:r>
      <w:hyperlink r:id="rId12" w:history="1">
        <w:r w:rsidRPr="0009741E">
          <w:rPr>
            <w:color w:val="0563C1" w:themeColor="hyperlink"/>
            <w:u w:val="single"/>
          </w:rPr>
          <w:t>http://ec.europa.eu/dgs/education_culture/repository/education/policy/higher-education/doc/ds_en.pdf</w:t>
        </w:r>
      </w:hyperlink>
      <w:r w:rsidRPr="0009741E">
        <w:t xml:space="preserve"> </w:t>
      </w:r>
    </w:p>
    <w:p w14:paraId="2F1BC7BF" w14:textId="77777777" w:rsidR="0009741E" w:rsidRPr="0009741E" w:rsidRDefault="0009741E" w:rsidP="0009741E">
      <w:pPr>
        <w:spacing w:after="0"/>
        <w:ind w:left="1009" w:hanging="720"/>
      </w:pPr>
    </w:p>
    <w:p w14:paraId="57CAB337" w14:textId="77777777" w:rsidR="0009741E" w:rsidRPr="0009741E" w:rsidRDefault="0009741E" w:rsidP="0009741E">
      <w:pPr>
        <w:spacing w:after="0"/>
        <w:ind w:left="1009" w:hanging="720"/>
      </w:pPr>
      <w:r w:rsidRPr="0009741E">
        <w:t xml:space="preserve">Groningen Declaration Network’s Executive Committee. (2012) Proceedings from Groningen, 16 April 2012: </w:t>
      </w:r>
      <w:r w:rsidRPr="0009741E">
        <w:rPr>
          <w:i/>
        </w:rPr>
        <w:t>Groningen Declaration on Digital Student Data Depositories Worldwide</w:t>
      </w:r>
      <w:r w:rsidRPr="0009741E">
        <w:t xml:space="preserve">. Groningen, Netherlands. </w:t>
      </w:r>
    </w:p>
    <w:p w14:paraId="164A341A" w14:textId="77777777" w:rsidR="0009741E" w:rsidRPr="0009741E" w:rsidRDefault="0009741E" w:rsidP="0009741E">
      <w:pPr>
        <w:spacing w:after="0"/>
        <w:ind w:left="1009" w:hanging="720"/>
      </w:pPr>
    </w:p>
    <w:p w14:paraId="37BD8B3C" w14:textId="77777777" w:rsidR="0009741E" w:rsidRPr="0009741E" w:rsidRDefault="0009741E" w:rsidP="0009741E">
      <w:pPr>
        <w:spacing w:after="0"/>
        <w:ind w:left="1009" w:hanging="720"/>
      </w:pPr>
      <w:r w:rsidRPr="0009741E">
        <w:t xml:space="preserve">Groningen Declaration Network’s Executive Committee. </w:t>
      </w:r>
      <w:proofErr w:type="gramStart"/>
      <w:r w:rsidRPr="0009741E">
        <w:t xml:space="preserve">(2015). </w:t>
      </w:r>
      <w:r w:rsidRPr="0009741E">
        <w:rPr>
          <w:i/>
        </w:rPr>
        <w:t>Statement of Ethical Principles.</w:t>
      </w:r>
      <w:proofErr w:type="gramEnd"/>
      <w:r w:rsidRPr="0009741E">
        <w:rPr>
          <w:i/>
        </w:rPr>
        <w:t xml:space="preserve"> </w:t>
      </w:r>
      <w:r w:rsidRPr="0009741E">
        <w:t xml:space="preserve">Retrieved from </w:t>
      </w:r>
      <w:hyperlink r:id="rId13" w:history="1">
        <w:r w:rsidRPr="0009741E">
          <w:rPr>
            <w:color w:val="0563C1" w:themeColor="hyperlink"/>
            <w:u w:val="single"/>
          </w:rPr>
          <w:t>http://www.groningendeclaration.org/statutes-and-more</w:t>
        </w:r>
      </w:hyperlink>
      <w:r w:rsidRPr="0009741E">
        <w:t xml:space="preserve"> </w:t>
      </w:r>
    </w:p>
    <w:p w14:paraId="7D9342B4" w14:textId="77777777" w:rsidR="0009741E" w:rsidRPr="0009741E" w:rsidRDefault="0009741E" w:rsidP="0009741E">
      <w:pPr>
        <w:spacing w:after="0"/>
        <w:ind w:left="1009" w:hanging="720"/>
      </w:pPr>
    </w:p>
    <w:p w14:paraId="1572DF4A" w14:textId="77777777" w:rsidR="0009741E" w:rsidRPr="0009741E" w:rsidRDefault="0009741E" w:rsidP="0009741E">
      <w:pPr>
        <w:spacing w:after="0"/>
        <w:ind w:left="1009" w:hanging="720"/>
      </w:pPr>
      <w:proofErr w:type="gramStart"/>
      <w:r w:rsidRPr="0009741E">
        <w:t xml:space="preserve">Higher Education Degree </w:t>
      </w:r>
      <w:proofErr w:type="spellStart"/>
      <w:r w:rsidRPr="0009741E">
        <w:t>Datacheck</w:t>
      </w:r>
      <w:proofErr w:type="spellEnd"/>
      <w:r w:rsidRPr="0009741E">
        <w:t>.</w:t>
      </w:r>
      <w:proofErr w:type="gramEnd"/>
      <w:r w:rsidRPr="0009741E">
        <w:t xml:space="preserve"> </w:t>
      </w:r>
      <w:proofErr w:type="gramStart"/>
      <w:r w:rsidRPr="0009741E">
        <w:t xml:space="preserve">(2016). </w:t>
      </w:r>
      <w:r w:rsidRPr="0009741E">
        <w:rPr>
          <w:i/>
        </w:rPr>
        <w:t>Advice and guidance on degree fraud a toolkit for employers</w:t>
      </w:r>
      <w:r w:rsidRPr="0009741E">
        <w:t xml:space="preserve"> [Handbook].</w:t>
      </w:r>
      <w:proofErr w:type="gramEnd"/>
      <w:r w:rsidRPr="0009741E">
        <w:t xml:space="preserve"> </w:t>
      </w:r>
      <w:proofErr w:type="gramStart"/>
      <w:r w:rsidRPr="0009741E">
        <w:t>Prospects.</w:t>
      </w:r>
      <w:proofErr w:type="gramEnd"/>
      <w:r w:rsidRPr="0009741E">
        <w:t xml:space="preserve"> Retrieved from </w:t>
      </w:r>
      <w:hyperlink r:id="rId14" w:history="1">
        <w:r w:rsidRPr="0009741E">
          <w:rPr>
            <w:color w:val="0563C1" w:themeColor="hyperlink"/>
            <w:u w:val="single"/>
          </w:rPr>
          <w:t>http://cdn.prospects.ac.uk/pdf/hedd%20degree%20fraud.pdf</w:t>
        </w:r>
      </w:hyperlink>
      <w:r w:rsidRPr="0009741E">
        <w:t xml:space="preserve"> </w:t>
      </w:r>
    </w:p>
    <w:p w14:paraId="72ECE2EF" w14:textId="77777777" w:rsidR="0009741E" w:rsidRPr="0009741E" w:rsidRDefault="0009741E" w:rsidP="0009741E">
      <w:pPr>
        <w:spacing w:after="0"/>
        <w:ind w:left="1009" w:hanging="720"/>
      </w:pPr>
    </w:p>
    <w:p w14:paraId="28DAF7B5" w14:textId="61D71B04" w:rsidR="0010334F" w:rsidRPr="009E32A7" w:rsidRDefault="0009741E" w:rsidP="000F7652">
      <w:pPr>
        <w:ind w:left="1080" w:hanging="810"/>
        <w:rPr>
          <w:i/>
        </w:rPr>
      </w:pPr>
      <w:proofErr w:type="gramStart"/>
      <w:r w:rsidRPr="0009741E">
        <w:t>World Education Services.</w:t>
      </w:r>
      <w:proofErr w:type="gramEnd"/>
      <w:r w:rsidRPr="0009741E">
        <w:t xml:space="preserve"> (2012). </w:t>
      </w:r>
      <w:r w:rsidRPr="0009741E">
        <w:rPr>
          <w:i/>
        </w:rPr>
        <w:t xml:space="preserve">Best Practices: Strategies and Processes to Obtain Authentic International Educational Credentials </w:t>
      </w:r>
      <w:r w:rsidRPr="0009741E">
        <w:t xml:space="preserve">[Handbook]. Retrieved from </w:t>
      </w:r>
      <w:hyperlink r:id="rId15" w:history="1">
        <w:r w:rsidRPr="0009741E">
          <w:rPr>
            <w:color w:val="0563C1" w:themeColor="hyperlink"/>
            <w:u w:val="single"/>
          </w:rPr>
          <w:t>https://www.wes.org/ca/licensing/bestpacticesstrategiesprocesses.pdf</w:t>
        </w:r>
      </w:hyperlink>
    </w:p>
    <w:sectPr w:rsidR="0010334F" w:rsidRPr="009E32A7" w:rsidSect="004057C6">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9ACCD" w14:textId="77777777" w:rsidR="00EF2744" w:rsidRDefault="00EF2744" w:rsidP="006C4BEE">
      <w:pPr>
        <w:spacing w:after="0" w:line="240" w:lineRule="auto"/>
      </w:pPr>
      <w:r>
        <w:separator/>
      </w:r>
    </w:p>
  </w:endnote>
  <w:endnote w:type="continuationSeparator" w:id="0">
    <w:p w14:paraId="486D9D2D" w14:textId="77777777" w:rsidR="00EF2744" w:rsidRDefault="00EF2744" w:rsidP="006C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156783"/>
      <w:docPartObj>
        <w:docPartGallery w:val="Page Numbers (Bottom of Page)"/>
        <w:docPartUnique/>
      </w:docPartObj>
    </w:sdtPr>
    <w:sdtEndPr>
      <w:rPr>
        <w:noProof/>
      </w:rPr>
    </w:sdtEndPr>
    <w:sdtContent>
      <w:p w14:paraId="63CDE687" w14:textId="2F74F709" w:rsidR="004057C6" w:rsidRDefault="004057C6">
        <w:pPr>
          <w:pStyle w:val="Footer"/>
          <w:jc w:val="center"/>
        </w:pPr>
        <w:r>
          <w:fldChar w:fldCharType="begin"/>
        </w:r>
        <w:r>
          <w:instrText xml:space="preserve"> PAGE   \* MERGEFORMAT </w:instrText>
        </w:r>
        <w:r>
          <w:fldChar w:fldCharType="separate"/>
        </w:r>
        <w:r w:rsidR="004D5034">
          <w:rPr>
            <w:noProof/>
          </w:rPr>
          <w:t>6</w:t>
        </w:r>
        <w:r>
          <w:rPr>
            <w:noProof/>
          </w:rPr>
          <w:fldChar w:fldCharType="end"/>
        </w:r>
      </w:p>
    </w:sdtContent>
  </w:sdt>
  <w:p w14:paraId="49A8243A" w14:textId="77777777" w:rsidR="009F761C" w:rsidRDefault="009F76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93658" w14:textId="77777777" w:rsidR="00EF2744" w:rsidRDefault="00EF2744" w:rsidP="006C4BEE">
      <w:pPr>
        <w:spacing w:after="0" w:line="240" w:lineRule="auto"/>
      </w:pPr>
      <w:r>
        <w:separator/>
      </w:r>
    </w:p>
  </w:footnote>
  <w:footnote w:type="continuationSeparator" w:id="0">
    <w:p w14:paraId="23C3C951" w14:textId="77777777" w:rsidR="00EF2744" w:rsidRDefault="00EF2744" w:rsidP="006C4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1F8"/>
    <w:multiLevelType w:val="hybridMultilevel"/>
    <w:tmpl w:val="A636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42B92"/>
    <w:multiLevelType w:val="hybridMultilevel"/>
    <w:tmpl w:val="63F8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556F3"/>
    <w:multiLevelType w:val="hybridMultilevel"/>
    <w:tmpl w:val="E208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E7C9B"/>
    <w:multiLevelType w:val="hybridMultilevel"/>
    <w:tmpl w:val="4F40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87966"/>
    <w:multiLevelType w:val="hybridMultilevel"/>
    <w:tmpl w:val="3524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94812"/>
    <w:multiLevelType w:val="hybridMultilevel"/>
    <w:tmpl w:val="05D63282"/>
    <w:lvl w:ilvl="0" w:tplc="C18E19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A25CE7"/>
    <w:multiLevelType w:val="hybridMultilevel"/>
    <w:tmpl w:val="D58840A0"/>
    <w:lvl w:ilvl="0" w:tplc="14E4AB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7854AF"/>
    <w:multiLevelType w:val="hybridMultilevel"/>
    <w:tmpl w:val="0FAC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35ECC"/>
    <w:multiLevelType w:val="hybridMultilevel"/>
    <w:tmpl w:val="F5F8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226376"/>
    <w:multiLevelType w:val="hybridMultilevel"/>
    <w:tmpl w:val="CD1C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951087"/>
    <w:multiLevelType w:val="hybridMultilevel"/>
    <w:tmpl w:val="7AE8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3E11C9"/>
    <w:multiLevelType w:val="hybridMultilevel"/>
    <w:tmpl w:val="4D40DFAE"/>
    <w:lvl w:ilvl="0" w:tplc="8F46083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11"/>
  </w:num>
  <w:num w:numId="5">
    <w:abstractNumId w:val="0"/>
  </w:num>
  <w:num w:numId="6">
    <w:abstractNumId w:val="7"/>
  </w:num>
  <w:num w:numId="7">
    <w:abstractNumId w:val="2"/>
  </w:num>
  <w:num w:numId="8">
    <w:abstractNumId w:val="9"/>
  </w:num>
  <w:num w:numId="9">
    <w:abstractNumId w:val="8"/>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EE"/>
    <w:rsid w:val="00007BF9"/>
    <w:rsid w:val="00015CE2"/>
    <w:rsid w:val="000177B9"/>
    <w:rsid w:val="000218A3"/>
    <w:rsid w:val="00027195"/>
    <w:rsid w:val="000325E0"/>
    <w:rsid w:val="00035BF3"/>
    <w:rsid w:val="00037639"/>
    <w:rsid w:val="000571D4"/>
    <w:rsid w:val="000733EB"/>
    <w:rsid w:val="00073F2D"/>
    <w:rsid w:val="00080C6C"/>
    <w:rsid w:val="00086A3D"/>
    <w:rsid w:val="0009741E"/>
    <w:rsid w:val="000A0B3A"/>
    <w:rsid w:val="000B014D"/>
    <w:rsid w:val="000B735E"/>
    <w:rsid w:val="000C0C0A"/>
    <w:rsid w:val="000C28F5"/>
    <w:rsid w:val="000D21D8"/>
    <w:rsid w:val="000D4045"/>
    <w:rsid w:val="000D4815"/>
    <w:rsid w:val="000E3B31"/>
    <w:rsid w:val="000F7206"/>
    <w:rsid w:val="000F7652"/>
    <w:rsid w:val="0010334F"/>
    <w:rsid w:val="001063DF"/>
    <w:rsid w:val="001072C3"/>
    <w:rsid w:val="0011113F"/>
    <w:rsid w:val="00120D54"/>
    <w:rsid w:val="001312A7"/>
    <w:rsid w:val="001370A4"/>
    <w:rsid w:val="001406EA"/>
    <w:rsid w:val="00144AF9"/>
    <w:rsid w:val="00155870"/>
    <w:rsid w:val="001642D0"/>
    <w:rsid w:val="001731A6"/>
    <w:rsid w:val="001746A5"/>
    <w:rsid w:val="001B0F86"/>
    <w:rsid w:val="001B2540"/>
    <w:rsid w:val="001C4A66"/>
    <w:rsid w:val="001D0695"/>
    <w:rsid w:val="001E0BAD"/>
    <w:rsid w:val="001E3FED"/>
    <w:rsid w:val="001E5C07"/>
    <w:rsid w:val="00203A20"/>
    <w:rsid w:val="00204FF3"/>
    <w:rsid w:val="00213142"/>
    <w:rsid w:val="00214F58"/>
    <w:rsid w:val="00214F7B"/>
    <w:rsid w:val="00215927"/>
    <w:rsid w:val="0021612D"/>
    <w:rsid w:val="002375A2"/>
    <w:rsid w:val="00250352"/>
    <w:rsid w:val="00267F86"/>
    <w:rsid w:val="002A4B9E"/>
    <w:rsid w:val="002A62BB"/>
    <w:rsid w:val="002B77E2"/>
    <w:rsid w:val="002D3680"/>
    <w:rsid w:val="002E2F08"/>
    <w:rsid w:val="002F2596"/>
    <w:rsid w:val="002F2802"/>
    <w:rsid w:val="002F2FCB"/>
    <w:rsid w:val="002F6193"/>
    <w:rsid w:val="00302560"/>
    <w:rsid w:val="0031714C"/>
    <w:rsid w:val="00326873"/>
    <w:rsid w:val="00333474"/>
    <w:rsid w:val="00342467"/>
    <w:rsid w:val="00346BFA"/>
    <w:rsid w:val="00356672"/>
    <w:rsid w:val="00364AFA"/>
    <w:rsid w:val="003805F8"/>
    <w:rsid w:val="00385936"/>
    <w:rsid w:val="00392346"/>
    <w:rsid w:val="003A0638"/>
    <w:rsid w:val="003A3910"/>
    <w:rsid w:val="003A5A36"/>
    <w:rsid w:val="003C130A"/>
    <w:rsid w:val="003C654D"/>
    <w:rsid w:val="00403B85"/>
    <w:rsid w:val="004048C9"/>
    <w:rsid w:val="004057C6"/>
    <w:rsid w:val="00406276"/>
    <w:rsid w:val="00407903"/>
    <w:rsid w:val="00420A40"/>
    <w:rsid w:val="00421F19"/>
    <w:rsid w:val="00423BCF"/>
    <w:rsid w:val="00432274"/>
    <w:rsid w:val="00457D50"/>
    <w:rsid w:val="0046742C"/>
    <w:rsid w:val="004743A5"/>
    <w:rsid w:val="00494AED"/>
    <w:rsid w:val="004B25EA"/>
    <w:rsid w:val="004B3B5A"/>
    <w:rsid w:val="004B4581"/>
    <w:rsid w:val="004C2032"/>
    <w:rsid w:val="004D5034"/>
    <w:rsid w:val="004D7316"/>
    <w:rsid w:val="004F1177"/>
    <w:rsid w:val="00512B71"/>
    <w:rsid w:val="00523EAB"/>
    <w:rsid w:val="00535460"/>
    <w:rsid w:val="00545126"/>
    <w:rsid w:val="0055085F"/>
    <w:rsid w:val="005552A2"/>
    <w:rsid w:val="00556770"/>
    <w:rsid w:val="00560436"/>
    <w:rsid w:val="00561915"/>
    <w:rsid w:val="005666A7"/>
    <w:rsid w:val="005671B8"/>
    <w:rsid w:val="00583B1B"/>
    <w:rsid w:val="0058461C"/>
    <w:rsid w:val="005923BA"/>
    <w:rsid w:val="005A5FBF"/>
    <w:rsid w:val="005A624C"/>
    <w:rsid w:val="005A7124"/>
    <w:rsid w:val="005B2B32"/>
    <w:rsid w:val="005B4EC8"/>
    <w:rsid w:val="005C06C1"/>
    <w:rsid w:val="005D2409"/>
    <w:rsid w:val="005D25E1"/>
    <w:rsid w:val="005D51BF"/>
    <w:rsid w:val="005D6699"/>
    <w:rsid w:val="00600B41"/>
    <w:rsid w:val="00604E47"/>
    <w:rsid w:val="006052C1"/>
    <w:rsid w:val="006301A8"/>
    <w:rsid w:val="00631274"/>
    <w:rsid w:val="00632056"/>
    <w:rsid w:val="006333DB"/>
    <w:rsid w:val="00636F06"/>
    <w:rsid w:val="00642069"/>
    <w:rsid w:val="00650DAA"/>
    <w:rsid w:val="00677119"/>
    <w:rsid w:val="00686D3E"/>
    <w:rsid w:val="00695772"/>
    <w:rsid w:val="006A0E48"/>
    <w:rsid w:val="006A20FA"/>
    <w:rsid w:val="006A54D0"/>
    <w:rsid w:val="006A7EAE"/>
    <w:rsid w:val="006C4735"/>
    <w:rsid w:val="006C4BEE"/>
    <w:rsid w:val="006C6749"/>
    <w:rsid w:val="00706E74"/>
    <w:rsid w:val="0072271D"/>
    <w:rsid w:val="0072705B"/>
    <w:rsid w:val="007329D0"/>
    <w:rsid w:val="0074400C"/>
    <w:rsid w:val="00747BFF"/>
    <w:rsid w:val="0075455B"/>
    <w:rsid w:val="007616A6"/>
    <w:rsid w:val="0076644B"/>
    <w:rsid w:val="007741BA"/>
    <w:rsid w:val="00774EBE"/>
    <w:rsid w:val="00777570"/>
    <w:rsid w:val="00792D42"/>
    <w:rsid w:val="007948F1"/>
    <w:rsid w:val="007A1E80"/>
    <w:rsid w:val="007C0114"/>
    <w:rsid w:val="007D28A3"/>
    <w:rsid w:val="007F048C"/>
    <w:rsid w:val="007F13D7"/>
    <w:rsid w:val="007F404E"/>
    <w:rsid w:val="00834CE5"/>
    <w:rsid w:val="00845387"/>
    <w:rsid w:val="00871518"/>
    <w:rsid w:val="00872762"/>
    <w:rsid w:val="00886E1A"/>
    <w:rsid w:val="00891313"/>
    <w:rsid w:val="008B22BA"/>
    <w:rsid w:val="008C5A00"/>
    <w:rsid w:val="008C6686"/>
    <w:rsid w:val="008D672D"/>
    <w:rsid w:val="008E686F"/>
    <w:rsid w:val="008F4394"/>
    <w:rsid w:val="008F4F7D"/>
    <w:rsid w:val="008F5F0E"/>
    <w:rsid w:val="00901952"/>
    <w:rsid w:val="0090478E"/>
    <w:rsid w:val="00911456"/>
    <w:rsid w:val="0091224D"/>
    <w:rsid w:val="00920CE2"/>
    <w:rsid w:val="009276E7"/>
    <w:rsid w:val="00965A66"/>
    <w:rsid w:val="00971E13"/>
    <w:rsid w:val="009937D4"/>
    <w:rsid w:val="00995F63"/>
    <w:rsid w:val="009A2271"/>
    <w:rsid w:val="009A3D64"/>
    <w:rsid w:val="009B236A"/>
    <w:rsid w:val="009B61C1"/>
    <w:rsid w:val="009E32A7"/>
    <w:rsid w:val="009E38EC"/>
    <w:rsid w:val="009E5FC3"/>
    <w:rsid w:val="009E7BDB"/>
    <w:rsid w:val="009F761C"/>
    <w:rsid w:val="00A0356E"/>
    <w:rsid w:val="00A04641"/>
    <w:rsid w:val="00A13EB3"/>
    <w:rsid w:val="00A14E8E"/>
    <w:rsid w:val="00A154CF"/>
    <w:rsid w:val="00A16D2B"/>
    <w:rsid w:val="00A23A19"/>
    <w:rsid w:val="00A42720"/>
    <w:rsid w:val="00A62C73"/>
    <w:rsid w:val="00A67041"/>
    <w:rsid w:val="00AA4F37"/>
    <w:rsid w:val="00AC4FF9"/>
    <w:rsid w:val="00AD7498"/>
    <w:rsid w:val="00AE3485"/>
    <w:rsid w:val="00AE6D67"/>
    <w:rsid w:val="00AF1E8D"/>
    <w:rsid w:val="00AF3AE0"/>
    <w:rsid w:val="00AF7639"/>
    <w:rsid w:val="00B11BEC"/>
    <w:rsid w:val="00B21E79"/>
    <w:rsid w:val="00B243E6"/>
    <w:rsid w:val="00B454B3"/>
    <w:rsid w:val="00B726D6"/>
    <w:rsid w:val="00B83AE1"/>
    <w:rsid w:val="00B84E53"/>
    <w:rsid w:val="00B866F5"/>
    <w:rsid w:val="00B916C1"/>
    <w:rsid w:val="00B968AB"/>
    <w:rsid w:val="00BA5484"/>
    <w:rsid w:val="00BB2E9F"/>
    <w:rsid w:val="00BD37EA"/>
    <w:rsid w:val="00BF134C"/>
    <w:rsid w:val="00BF3A94"/>
    <w:rsid w:val="00BF6739"/>
    <w:rsid w:val="00C0081F"/>
    <w:rsid w:val="00C06166"/>
    <w:rsid w:val="00C43EF5"/>
    <w:rsid w:val="00C50A4E"/>
    <w:rsid w:val="00C514FB"/>
    <w:rsid w:val="00C76044"/>
    <w:rsid w:val="00C962D1"/>
    <w:rsid w:val="00CB5D29"/>
    <w:rsid w:val="00CD1D67"/>
    <w:rsid w:val="00CD2168"/>
    <w:rsid w:val="00CD7C33"/>
    <w:rsid w:val="00CE5350"/>
    <w:rsid w:val="00CE7732"/>
    <w:rsid w:val="00CF7A40"/>
    <w:rsid w:val="00CF7C52"/>
    <w:rsid w:val="00D14FAD"/>
    <w:rsid w:val="00D16C9E"/>
    <w:rsid w:val="00D530D9"/>
    <w:rsid w:val="00D55E37"/>
    <w:rsid w:val="00D56C33"/>
    <w:rsid w:val="00D56C52"/>
    <w:rsid w:val="00D60F69"/>
    <w:rsid w:val="00D65E94"/>
    <w:rsid w:val="00D76480"/>
    <w:rsid w:val="00D83CA9"/>
    <w:rsid w:val="00D874EC"/>
    <w:rsid w:val="00D942C1"/>
    <w:rsid w:val="00D967E1"/>
    <w:rsid w:val="00DA1087"/>
    <w:rsid w:val="00DA48F8"/>
    <w:rsid w:val="00DC09AB"/>
    <w:rsid w:val="00DC3198"/>
    <w:rsid w:val="00DC5900"/>
    <w:rsid w:val="00E01550"/>
    <w:rsid w:val="00E02AF8"/>
    <w:rsid w:val="00E158B8"/>
    <w:rsid w:val="00E15DD9"/>
    <w:rsid w:val="00E1773E"/>
    <w:rsid w:val="00E26E57"/>
    <w:rsid w:val="00E33BA5"/>
    <w:rsid w:val="00E3723C"/>
    <w:rsid w:val="00E552AD"/>
    <w:rsid w:val="00E7380F"/>
    <w:rsid w:val="00E815C6"/>
    <w:rsid w:val="00EA551E"/>
    <w:rsid w:val="00EA6937"/>
    <w:rsid w:val="00EE68C1"/>
    <w:rsid w:val="00EE7F63"/>
    <w:rsid w:val="00EF2744"/>
    <w:rsid w:val="00F01FF4"/>
    <w:rsid w:val="00F21D46"/>
    <w:rsid w:val="00F3285D"/>
    <w:rsid w:val="00F41AC2"/>
    <w:rsid w:val="00F42928"/>
    <w:rsid w:val="00F549F5"/>
    <w:rsid w:val="00F5542B"/>
    <w:rsid w:val="00F57BCE"/>
    <w:rsid w:val="00F62421"/>
    <w:rsid w:val="00F634B4"/>
    <w:rsid w:val="00F678DB"/>
    <w:rsid w:val="00F7071D"/>
    <w:rsid w:val="00FA4907"/>
    <w:rsid w:val="00FA75BE"/>
    <w:rsid w:val="00FB1391"/>
    <w:rsid w:val="00FB7C86"/>
    <w:rsid w:val="00FD119D"/>
    <w:rsid w:val="00FD2950"/>
    <w:rsid w:val="00FD3999"/>
    <w:rsid w:val="00FE528D"/>
    <w:rsid w:val="00FE76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8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11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11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BEE"/>
  </w:style>
  <w:style w:type="paragraph" w:styleId="Footer">
    <w:name w:val="footer"/>
    <w:basedOn w:val="Normal"/>
    <w:link w:val="FooterChar"/>
    <w:uiPriority w:val="99"/>
    <w:unhideWhenUsed/>
    <w:rsid w:val="006C4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BEE"/>
  </w:style>
  <w:style w:type="paragraph" w:styleId="ListParagraph">
    <w:name w:val="List Paragraph"/>
    <w:basedOn w:val="Normal"/>
    <w:uiPriority w:val="34"/>
    <w:qFormat/>
    <w:rsid w:val="00CF7C52"/>
    <w:pPr>
      <w:ind w:left="720"/>
      <w:contextualSpacing/>
    </w:pPr>
  </w:style>
  <w:style w:type="paragraph" w:styleId="BalloonText">
    <w:name w:val="Balloon Text"/>
    <w:basedOn w:val="Normal"/>
    <w:link w:val="BalloonTextChar"/>
    <w:uiPriority w:val="99"/>
    <w:semiHidden/>
    <w:unhideWhenUsed/>
    <w:rsid w:val="00F55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42B"/>
    <w:rPr>
      <w:rFonts w:ascii="Segoe UI" w:hAnsi="Segoe UI" w:cs="Segoe UI"/>
      <w:sz w:val="18"/>
      <w:szCs w:val="18"/>
    </w:rPr>
  </w:style>
  <w:style w:type="character" w:styleId="Hyperlink">
    <w:name w:val="Hyperlink"/>
    <w:basedOn w:val="DefaultParagraphFont"/>
    <w:uiPriority w:val="99"/>
    <w:unhideWhenUsed/>
    <w:rsid w:val="00AF3AE0"/>
    <w:rPr>
      <w:color w:val="0563C1" w:themeColor="hyperlink"/>
      <w:u w:val="single"/>
    </w:rPr>
  </w:style>
  <w:style w:type="character" w:styleId="CommentReference">
    <w:name w:val="annotation reference"/>
    <w:basedOn w:val="DefaultParagraphFont"/>
    <w:uiPriority w:val="99"/>
    <w:semiHidden/>
    <w:unhideWhenUsed/>
    <w:rsid w:val="00FB7C86"/>
    <w:rPr>
      <w:sz w:val="16"/>
      <w:szCs w:val="16"/>
    </w:rPr>
  </w:style>
  <w:style w:type="paragraph" w:styleId="CommentText">
    <w:name w:val="annotation text"/>
    <w:basedOn w:val="Normal"/>
    <w:link w:val="CommentTextChar"/>
    <w:uiPriority w:val="99"/>
    <w:semiHidden/>
    <w:unhideWhenUsed/>
    <w:rsid w:val="00FB7C86"/>
    <w:pPr>
      <w:spacing w:line="240" w:lineRule="auto"/>
    </w:pPr>
    <w:rPr>
      <w:sz w:val="20"/>
      <w:szCs w:val="20"/>
    </w:rPr>
  </w:style>
  <w:style w:type="character" w:customStyle="1" w:styleId="CommentTextChar">
    <w:name w:val="Comment Text Char"/>
    <w:basedOn w:val="DefaultParagraphFont"/>
    <w:link w:val="CommentText"/>
    <w:uiPriority w:val="99"/>
    <w:semiHidden/>
    <w:rsid w:val="00FB7C86"/>
    <w:rPr>
      <w:sz w:val="20"/>
      <w:szCs w:val="20"/>
    </w:rPr>
  </w:style>
  <w:style w:type="paragraph" w:styleId="CommentSubject">
    <w:name w:val="annotation subject"/>
    <w:basedOn w:val="CommentText"/>
    <w:next w:val="CommentText"/>
    <w:link w:val="CommentSubjectChar"/>
    <w:uiPriority w:val="99"/>
    <w:semiHidden/>
    <w:unhideWhenUsed/>
    <w:rsid w:val="00FB7C86"/>
    <w:rPr>
      <w:b/>
      <w:bCs/>
    </w:rPr>
  </w:style>
  <w:style w:type="character" w:customStyle="1" w:styleId="CommentSubjectChar">
    <w:name w:val="Comment Subject Char"/>
    <w:basedOn w:val="CommentTextChar"/>
    <w:link w:val="CommentSubject"/>
    <w:uiPriority w:val="99"/>
    <w:semiHidden/>
    <w:rsid w:val="00FB7C86"/>
    <w:rPr>
      <w:b/>
      <w:bCs/>
      <w:sz w:val="20"/>
      <w:szCs w:val="20"/>
    </w:rPr>
  </w:style>
  <w:style w:type="character" w:styleId="FollowedHyperlink">
    <w:name w:val="FollowedHyperlink"/>
    <w:basedOn w:val="DefaultParagraphFont"/>
    <w:uiPriority w:val="99"/>
    <w:semiHidden/>
    <w:unhideWhenUsed/>
    <w:rsid w:val="00027195"/>
    <w:rPr>
      <w:color w:val="954F72" w:themeColor="followedHyperlink"/>
      <w:u w:val="single"/>
    </w:rPr>
  </w:style>
  <w:style w:type="character" w:customStyle="1" w:styleId="Heading1Char">
    <w:name w:val="Heading 1 Char"/>
    <w:basedOn w:val="DefaultParagraphFont"/>
    <w:link w:val="Heading1"/>
    <w:uiPriority w:val="9"/>
    <w:rsid w:val="004F117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F1177"/>
    <w:pPr>
      <w:outlineLvl w:val="9"/>
    </w:pPr>
  </w:style>
  <w:style w:type="character" w:customStyle="1" w:styleId="Heading2Char">
    <w:name w:val="Heading 2 Char"/>
    <w:basedOn w:val="DefaultParagraphFont"/>
    <w:link w:val="Heading2"/>
    <w:uiPriority w:val="9"/>
    <w:rsid w:val="004F117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177"/>
    <w:pPr>
      <w:spacing w:after="100"/>
      <w:ind w:left="220"/>
    </w:pPr>
    <w:rPr>
      <w:rFonts w:eastAsiaTheme="minorEastAsia" w:cs="Times New Roman"/>
    </w:rPr>
  </w:style>
  <w:style w:type="paragraph" w:styleId="TOC1">
    <w:name w:val="toc 1"/>
    <w:basedOn w:val="Normal"/>
    <w:next w:val="Normal"/>
    <w:autoRedefine/>
    <w:uiPriority w:val="39"/>
    <w:unhideWhenUsed/>
    <w:rsid w:val="004F1177"/>
    <w:pPr>
      <w:spacing w:after="100"/>
    </w:pPr>
    <w:rPr>
      <w:rFonts w:eastAsiaTheme="minorEastAsia" w:cs="Times New Roman"/>
    </w:rPr>
  </w:style>
  <w:style w:type="paragraph" w:styleId="TOC3">
    <w:name w:val="toc 3"/>
    <w:basedOn w:val="Normal"/>
    <w:next w:val="Normal"/>
    <w:autoRedefine/>
    <w:uiPriority w:val="39"/>
    <w:unhideWhenUsed/>
    <w:rsid w:val="004F1177"/>
    <w:pPr>
      <w:spacing w:after="100"/>
      <w:ind w:left="440"/>
    </w:pPr>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11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11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BEE"/>
  </w:style>
  <w:style w:type="paragraph" w:styleId="Footer">
    <w:name w:val="footer"/>
    <w:basedOn w:val="Normal"/>
    <w:link w:val="FooterChar"/>
    <w:uiPriority w:val="99"/>
    <w:unhideWhenUsed/>
    <w:rsid w:val="006C4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BEE"/>
  </w:style>
  <w:style w:type="paragraph" w:styleId="ListParagraph">
    <w:name w:val="List Paragraph"/>
    <w:basedOn w:val="Normal"/>
    <w:uiPriority w:val="34"/>
    <w:qFormat/>
    <w:rsid w:val="00CF7C52"/>
    <w:pPr>
      <w:ind w:left="720"/>
      <w:contextualSpacing/>
    </w:pPr>
  </w:style>
  <w:style w:type="paragraph" w:styleId="BalloonText">
    <w:name w:val="Balloon Text"/>
    <w:basedOn w:val="Normal"/>
    <w:link w:val="BalloonTextChar"/>
    <w:uiPriority w:val="99"/>
    <w:semiHidden/>
    <w:unhideWhenUsed/>
    <w:rsid w:val="00F55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42B"/>
    <w:rPr>
      <w:rFonts w:ascii="Segoe UI" w:hAnsi="Segoe UI" w:cs="Segoe UI"/>
      <w:sz w:val="18"/>
      <w:szCs w:val="18"/>
    </w:rPr>
  </w:style>
  <w:style w:type="character" w:styleId="Hyperlink">
    <w:name w:val="Hyperlink"/>
    <w:basedOn w:val="DefaultParagraphFont"/>
    <w:uiPriority w:val="99"/>
    <w:unhideWhenUsed/>
    <w:rsid w:val="00AF3AE0"/>
    <w:rPr>
      <w:color w:val="0563C1" w:themeColor="hyperlink"/>
      <w:u w:val="single"/>
    </w:rPr>
  </w:style>
  <w:style w:type="character" w:styleId="CommentReference">
    <w:name w:val="annotation reference"/>
    <w:basedOn w:val="DefaultParagraphFont"/>
    <w:uiPriority w:val="99"/>
    <w:semiHidden/>
    <w:unhideWhenUsed/>
    <w:rsid w:val="00FB7C86"/>
    <w:rPr>
      <w:sz w:val="16"/>
      <w:szCs w:val="16"/>
    </w:rPr>
  </w:style>
  <w:style w:type="paragraph" w:styleId="CommentText">
    <w:name w:val="annotation text"/>
    <w:basedOn w:val="Normal"/>
    <w:link w:val="CommentTextChar"/>
    <w:uiPriority w:val="99"/>
    <w:semiHidden/>
    <w:unhideWhenUsed/>
    <w:rsid w:val="00FB7C86"/>
    <w:pPr>
      <w:spacing w:line="240" w:lineRule="auto"/>
    </w:pPr>
    <w:rPr>
      <w:sz w:val="20"/>
      <w:szCs w:val="20"/>
    </w:rPr>
  </w:style>
  <w:style w:type="character" w:customStyle="1" w:styleId="CommentTextChar">
    <w:name w:val="Comment Text Char"/>
    <w:basedOn w:val="DefaultParagraphFont"/>
    <w:link w:val="CommentText"/>
    <w:uiPriority w:val="99"/>
    <w:semiHidden/>
    <w:rsid w:val="00FB7C86"/>
    <w:rPr>
      <w:sz w:val="20"/>
      <w:szCs w:val="20"/>
    </w:rPr>
  </w:style>
  <w:style w:type="paragraph" w:styleId="CommentSubject">
    <w:name w:val="annotation subject"/>
    <w:basedOn w:val="CommentText"/>
    <w:next w:val="CommentText"/>
    <w:link w:val="CommentSubjectChar"/>
    <w:uiPriority w:val="99"/>
    <w:semiHidden/>
    <w:unhideWhenUsed/>
    <w:rsid w:val="00FB7C86"/>
    <w:rPr>
      <w:b/>
      <w:bCs/>
    </w:rPr>
  </w:style>
  <w:style w:type="character" w:customStyle="1" w:styleId="CommentSubjectChar">
    <w:name w:val="Comment Subject Char"/>
    <w:basedOn w:val="CommentTextChar"/>
    <w:link w:val="CommentSubject"/>
    <w:uiPriority w:val="99"/>
    <w:semiHidden/>
    <w:rsid w:val="00FB7C86"/>
    <w:rPr>
      <w:b/>
      <w:bCs/>
      <w:sz w:val="20"/>
      <w:szCs w:val="20"/>
    </w:rPr>
  </w:style>
  <w:style w:type="character" w:styleId="FollowedHyperlink">
    <w:name w:val="FollowedHyperlink"/>
    <w:basedOn w:val="DefaultParagraphFont"/>
    <w:uiPriority w:val="99"/>
    <w:semiHidden/>
    <w:unhideWhenUsed/>
    <w:rsid w:val="00027195"/>
    <w:rPr>
      <w:color w:val="954F72" w:themeColor="followedHyperlink"/>
      <w:u w:val="single"/>
    </w:rPr>
  </w:style>
  <w:style w:type="character" w:customStyle="1" w:styleId="Heading1Char">
    <w:name w:val="Heading 1 Char"/>
    <w:basedOn w:val="DefaultParagraphFont"/>
    <w:link w:val="Heading1"/>
    <w:uiPriority w:val="9"/>
    <w:rsid w:val="004F117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F1177"/>
    <w:pPr>
      <w:outlineLvl w:val="9"/>
    </w:pPr>
  </w:style>
  <w:style w:type="character" w:customStyle="1" w:styleId="Heading2Char">
    <w:name w:val="Heading 2 Char"/>
    <w:basedOn w:val="DefaultParagraphFont"/>
    <w:link w:val="Heading2"/>
    <w:uiPriority w:val="9"/>
    <w:rsid w:val="004F117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177"/>
    <w:pPr>
      <w:spacing w:after="100"/>
      <w:ind w:left="220"/>
    </w:pPr>
    <w:rPr>
      <w:rFonts w:eastAsiaTheme="minorEastAsia" w:cs="Times New Roman"/>
    </w:rPr>
  </w:style>
  <w:style w:type="paragraph" w:styleId="TOC1">
    <w:name w:val="toc 1"/>
    <w:basedOn w:val="Normal"/>
    <w:next w:val="Normal"/>
    <w:autoRedefine/>
    <w:uiPriority w:val="39"/>
    <w:unhideWhenUsed/>
    <w:rsid w:val="004F1177"/>
    <w:pPr>
      <w:spacing w:after="100"/>
    </w:pPr>
    <w:rPr>
      <w:rFonts w:eastAsiaTheme="minorEastAsia" w:cs="Times New Roman"/>
    </w:rPr>
  </w:style>
  <w:style w:type="paragraph" w:styleId="TOC3">
    <w:name w:val="toc 3"/>
    <w:basedOn w:val="Normal"/>
    <w:next w:val="Normal"/>
    <w:autoRedefine/>
    <w:uiPriority w:val="39"/>
    <w:unhideWhenUsed/>
    <w:rsid w:val="004F1177"/>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oningendeclaration.org/statutes-and-mo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dgs/education_culture/repository/education/policy/higher-education/doc/ds_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fsa.org/uploadedFiles/NAFSA_Home/Resource_Library_Assets/ACE/forensics_of_academic.pdf?n=6546" TargetMode="External"/><Relationship Id="rId5" Type="http://schemas.openxmlformats.org/officeDocument/2006/relationships/settings" Target="settings.xml"/><Relationship Id="rId15" Type="http://schemas.openxmlformats.org/officeDocument/2006/relationships/hyperlink" Target="https://www.wes.org/ca/licensing/bestpacticesstrategiesprocesses.pdf" TargetMode="External"/><Relationship Id="rId10" Type="http://schemas.openxmlformats.org/officeDocument/2006/relationships/hyperlink" Target="http://aacrao.org/about/committees" TargetMode="External"/><Relationship Id="rId4" Type="http://schemas.microsoft.com/office/2007/relationships/stylesWithEffects" Target="stylesWithEffects.xml"/><Relationship Id="rId9" Type="http://schemas.openxmlformats.org/officeDocument/2006/relationships/hyperlink" Target="https://www.nafsa.org/uploadedFiles/NAFSA_Home/Resource_Library_Assets/ACE/forensics_of_academic.pdf?n=6546" TargetMode="External"/><Relationship Id="rId14" Type="http://schemas.openxmlformats.org/officeDocument/2006/relationships/hyperlink" Target="http://cdn.prospects.ac.uk/pdf/hedd%20degree%20frau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35EC-D658-45BB-9456-5D49DFAA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Chamula</dc:creator>
  <cp:lastModifiedBy>Robert</cp:lastModifiedBy>
  <cp:revision>2</cp:revision>
  <cp:lastPrinted>2017-03-31T20:43:00Z</cp:lastPrinted>
  <dcterms:created xsi:type="dcterms:W3CDTF">2017-05-15T17:35:00Z</dcterms:created>
  <dcterms:modified xsi:type="dcterms:W3CDTF">2017-05-15T17:35:00Z</dcterms:modified>
</cp:coreProperties>
</file>